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4" w:lineRule="exact"/>
        <w:ind w:firstLine="5280" w:firstLineChars="1200"/>
        <w:jc w:val="both"/>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rPr>
        <w:t>廊坊市</w:t>
      </w:r>
      <w:r>
        <w:rPr>
          <w:rFonts w:hint="eastAsia" w:ascii="方正小标宋简体" w:hAnsi="方正小标宋简体" w:eastAsia="方正小标宋简体" w:cs="方正小标宋简体"/>
          <w:sz w:val="44"/>
          <w:szCs w:val="44"/>
          <w:lang w:val="en-US" w:eastAsia="zh-CN"/>
        </w:rPr>
        <w:t>农林科学院</w:t>
      </w:r>
    </w:p>
    <w:p>
      <w:pPr>
        <w:spacing w:line="584" w:lineRule="exact"/>
        <w:ind w:firstLine="880" w:firstLineChars="20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3</w:t>
      </w:r>
      <w:r>
        <w:rPr>
          <w:rFonts w:hint="eastAsia" w:ascii="方正小标宋简体" w:hAnsi="方正小标宋简体" w:eastAsia="方正小标宋简体" w:cs="方正小标宋简体"/>
          <w:sz w:val="44"/>
          <w:szCs w:val="44"/>
        </w:rPr>
        <w:t>年部门预算信息公开情况说明</w:t>
      </w:r>
    </w:p>
    <w:p>
      <w:pPr>
        <w:spacing w:line="584" w:lineRule="exact"/>
        <w:ind w:firstLine="880" w:firstLineChars="200"/>
        <w:jc w:val="center"/>
        <w:rPr>
          <w:rFonts w:hint="eastAsia" w:ascii="方正小标宋简体" w:hAnsi="方正小标宋简体" w:eastAsia="方正小标宋简体" w:cs="方正小标宋简体"/>
          <w:sz w:val="44"/>
          <w:szCs w:val="44"/>
        </w:rPr>
      </w:pPr>
    </w:p>
    <w:p>
      <w:pPr>
        <w:spacing w:line="58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按照《中华人民共和国预算法》、《中华人民共和国预算法实施条例》、《地方预决算公开操作规程》和《河北省省级预算公开办法》规定，现将廊坊市</w:t>
      </w:r>
      <w:r>
        <w:rPr>
          <w:rFonts w:hint="eastAsia" w:ascii="Times New Roman" w:hAnsi="Times New Roman" w:eastAsia="仿宋_GB2312" w:cs="Times New Roman"/>
          <w:sz w:val="32"/>
          <w:szCs w:val="32"/>
          <w:lang w:val="en-US" w:eastAsia="zh-CN"/>
        </w:rPr>
        <w:t>农林科学院</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年部门预算公开如下：</w:t>
      </w:r>
    </w:p>
    <w:p>
      <w:pPr>
        <w:spacing w:line="584"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一、部门职责及机构设置情况</w:t>
      </w:r>
    </w:p>
    <w:p>
      <w:pPr>
        <w:spacing w:line="584" w:lineRule="exact"/>
        <w:ind w:firstLine="642" w:firstLineChars="200"/>
        <w:rPr>
          <w:rFonts w:ascii="Times New Roman" w:hAnsi="Times New Roman" w:eastAsia="楷体_GB2312" w:cs="Times New Roman"/>
          <w:b/>
          <w:sz w:val="32"/>
          <w:szCs w:val="32"/>
        </w:rPr>
      </w:pPr>
      <w:r>
        <w:rPr>
          <w:rFonts w:ascii="Times New Roman" w:hAnsi="Times New Roman" w:eastAsia="楷体_GB2312" w:cs="Times New Roman"/>
          <w:b/>
          <w:sz w:val="32"/>
          <w:szCs w:val="32"/>
        </w:rPr>
        <w:t>部门职责：</w:t>
      </w:r>
    </w:p>
    <w:p>
      <w:pPr>
        <w:pStyle w:val="4"/>
        <w:rPr>
          <w:rFonts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在市委、市政府的领导下，贯彻执行上级有关农业科研方面的政策和规定。针对我市农业生产需求，积极争取和承担国家、省、市科研项目，加强横向联合攻关，开展农业科学研究，不断提高科技创新能力。建立农业科技试验示范基地，搞好成果引进、消化、吸收和转化对接，为我市农业发展提供公益性的农业科研成果和技术咨询、技术培训、技术服务。</w:t>
      </w:r>
    </w:p>
    <w:p>
      <w:pPr>
        <w:autoSpaceDE w:val="0"/>
        <w:autoSpaceDN w:val="0"/>
        <w:adjustRightInd w:val="0"/>
        <w:spacing w:line="584" w:lineRule="exact"/>
        <w:ind w:firstLine="629" w:firstLineChars="196"/>
        <w:jc w:val="left"/>
        <w:rPr>
          <w:rFonts w:ascii="Times New Roman" w:hAnsi="Times New Roman" w:eastAsia="楷体_GB2312" w:cs="Times New Roman"/>
          <w:b/>
          <w:sz w:val="32"/>
          <w:szCs w:val="32"/>
        </w:rPr>
      </w:pPr>
      <w:r>
        <w:rPr>
          <w:rFonts w:ascii="Times New Roman" w:hAnsi="Times New Roman" w:eastAsia="楷体_GB2312" w:cs="Times New Roman"/>
          <w:b/>
          <w:sz w:val="32"/>
          <w:szCs w:val="32"/>
        </w:rPr>
        <w:t>机构设置：</w:t>
      </w:r>
    </w:p>
    <w:p>
      <w:pPr>
        <w:spacing w:line="584" w:lineRule="exact"/>
        <w:jc w:val="center"/>
        <w:outlineLvl w:val="0"/>
        <w:rPr>
          <w:rFonts w:ascii="Times New Roman" w:hAnsi="Times New Roman" w:eastAsia="仿宋_GB2312" w:cs="Times New Roman"/>
          <w:b/>
          <w:sz w:val="32"/>
          <w:szCs w:val="24"/>
        </w:rPr>
      </w:pPr>
      <w:r>
        <w:rPr>
          <w:rFonts w:ascii="Times New Roman" w:hAnsi="Times New Roman" w:eastAsia="仿宋_GB2312" w:cs="Times New Roman"/>
          <w:b/>
          <w:sz w:val="32"/>
          <w:szCs w:val="24"/>
        </w:rPr>
        <w:t>部门机构设置情况</w:t>
      </w:r>
    </w:p>
    <w:tbl>
      <w:tblPr>
        <w:tblStyle w:val="11"/>
        <w:tblW w:w="9755"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443"/>
        <w:gridCol w:w="1134"/>
        <w:gridCol w:w="1276"/>
        <w:gridCol w:w="290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84" w:hRule="atLeast"/>
          <w:tblHeader/>
          <w:jc w:val="center"/>
        </w:trPr>
        <w:tc>
          <w:tcPr>
            <w:tcW w:w="4443" w:type="dxa"/>
            <w:vMerge w:val="restart"/>
            <w:shd w:val="clear" w:color="auto" w:fill="auto"/>
            <w:vAlign w:val="center"/>
          </w:tcPr>
          <w:p>
            <w:pPr>
              <w:spacing w:line="584" w:lineRule="exact"/>
              <w:jc w:val="center"/>
              <w:rPr>
                <w:rFonts w:ascii="Times New Roman" w:hAnsi="Times New Roman" w:eastAsia="仿宋_GB2312" w:cs="Times New Roman"/>
                <w:b/>
                <w:szCs w:val="24"/>
              </w:rPr>
            </w:pPr>
            <w:r>
              <w:rPr>
                <w:rFonts w:ascii="Times New Roman" w:hAnsi="Times New Roman" w:eastAsia="仿宋_GB2312" w:cs="Times New Roman"/>
                <w:b/>
                <w:szCs w:val="24"/>
              </w:rPr>
              <w:t>单位名称</w:t>
            </w:r>
          </w:p>
        </w:tc>
        <w:tc>
          <w:tcPr>
            <w:tcW w:w="1134" w:type="dxa"/>
            <w:vMerge w:val="restart"/>
            <w:shd w:val="clear" w:color="auto" w:fill="auto"/>
            <w:vAlign w:val="center"/>
          </w:tcPr>
          <w:p>
            <w:pPr>
              <w:spacing w:line="584" w:lineRule="exact"/>
              <w:jc w:val="center"/>
              <w:rPr>
                <w:rFonts w:ascii="Times New Roman" w:hAnsi="Times New Roman" w:eastAsia="仿宋_GB2312" w:cs="Times New Roman"/>
                <w:b/>
                <w:szCs w:val="24"/>
              </w:rPr>
            </w:pPr>
            <w:r>
              <w:rPr>
                <w:rFonts w:ascii="Times New Roman" w:hAnsi="Times New Roman" w:eastAsia="仿宋_GB2312" w:cs="Times New Roman"/>
                <w:b/>
                <w:szCs w:val="24"/>
              </w:rPr>
              <w:t>单位性质</w:t>
            </w:r>
          </w:p>
        </w:tc>
        <w:tc>
          <w:tcPr>
            <w:tcW w:w="1276" w:type="dxa"/>
            <w:vMerge w:val="restart"/>
            <w:shd w:val="clear" w:color="auto" w:fill="auto"/>
            <w:vAlign w:val="center"/>
          </w:tcPr>
          <w:p>
            <w:pPr>
              <w:spacing w:line="584" w:lineRule="exact"/>
              <w:jc w:val="center"/>
              <w:rPr>
                <w:rFonts w:ascii="Times New Roman" w:hAnsi="Times New Roman" w:eastAsia="仿宋_GB2312" w:cs="Times New Roman"/>
                <w:b/>
                <w:szCs w:val="24"/>
              </w:rPr>
            </w:pPr>
            <w:r>
              <w:rPr>
                <w:rFonts w:ascii="Times New Roman" w:hAnsi="Times New Roman" w:eastAsia="仿宋_GB2312" w:cs="Times New Roman"/>
                <w:b/>
                <w:szCs w:val="24"/>
              </w:rPr>
              <w:t>单位规格</w:t>
            </w:r>
          </w:p>
        </w:tc>
        <w:tc>
          <w:tcPr>
            <w:tcW w:w="2902" w:type="dxa"/>
            <w:vMerge w:val="restart"/>
            <w:shd w:val="clear" w:color="auto" w:fill="auto"/>
            <w:vAlign w:val="center"/>
          </w:tcPr>
          <w:p>
            <w:pPr>
              <w:spacing w:line="584" w:lineRule="exact"/>
              <w:jc w:val="center"/>
              <w:rPr>
                <w:rFonts w:ascii="Times New Roman" w:hAnsi="Times New Roman" w:eastAsia="仿宋_GB2312" w:cs="Times New Roman"/>
                <w:b/>
                <w:szCs w:val="24"/>
              </w:rPr>
            </w:pPr>
            <w:r>
              <w:rPr>
                <w:rFonts w:ascii="Times New Roman" w:hAnsi="Times New Roman" w:eastAsia="仿宋_GB2312" w:cs="Times New Roman"/>
                <w:b/>
                <w:szCs w:val="24"/>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12" w:hRule="atLeast"/>
          <w:tblHeader/>
          <w:jc w:val="center"/>
        </w:trPr>
        <w:tc>
          <w:tcPr>
            <w:tcW w:w="4443" w:type="dxa"/>
            <w:vMerge w:val="continue"/>
            <w:shd w:val="clear" w:color="auto" w:fill="auto"/>
            <w:vAlign w:val="center"/>
          </w:tcPr>
          <w:p/>
        </w:tc>
        <w:tc>
          <w:tcPr>
            <w:tcW w:w="1134" w:type="dxa"/>
            <w:vMerge w:val="continue"/>
            <w:shd w:val="clear" w:color="auto" w:fill="auto"/>
            <w:vAlign w:val="center"/>
          </w:tcPr>
          <w:p/>
        </w:tc>
        <w:tc>
          <w:tcPr>
            <w:tcW w:w="1276" w:type="dxa"/>
            <w:vMerge w:val="continue"/>
            <w:shd w:val="clear" w:color="auto" w:fill="auto"/>
            <w:vAlign w:val="center"/>
          </w:tcPr>
          <w:p/>
        </w:tc>
        <w:tc>
          <w:tcPr>
            <w:tcW w:w="2902" w:type="dxa"/>
            <w:vMerge w:val="continue"/>
            <w:shd w:val="clear" w:color="auto" w:fill="auto"/>
            <w:vAlign w:val="center"/>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4443" w:type="dxa"/>
            <w:shd w:val="clear" w:color="auto" w:fill="auto"/>
            <w:vAlign w:val="center"/>
          </w:tcPr>
          <w:p>
            <w:pPr>
              <w:spacing w:line="584" w:lineRule="exact"/>
              <w:jc w:val="center"/>
              <w:rPr>
                <w:rFonts w:hint="eastAsia" w:ascii="Times New Roman" w:hAnsi="Times New Roman" w:eastAsia="仿宋_GB2312" w:cs="Times New Roman"/>
                <w:b/>
                <w:lang w:eastAsia="zh-CN"/>
              </w:rPr>
            </w:pPr>
            <w:r>
              <w:rPr>
                <w:rFonts w:hint="eastAsia" w:ascii="Times New Roman" w:hAnsi="Times New Roman" w:eastAsia="仿宋_GB2312" w:cs="Times New Roman"/>
                <w:b/>
                <w:lang w:eastAsia="zh-CN"/>
              </w:rPr>
              <w:t>廊坊市农林科学院本级</w:t>
            </w:r>
          </w:p>
        </w:tc>
        <w:tc>
          <w:tcPr>
            <w:tcW w:w="1134" w:type="dxa"/>
            <w:shd w:val="clear" w:color="auto" w:fill="auto"/>
            <w:vAlign w:val="center"/>
          </w:tcPr>
          <w:p>
            <w:pPr>
              <w:spacing w:line="584" w:lineRule="exact"/>
              <w:jc w:val="center"/>
              <w:rPr>
                <w:rFonts w:ascii="Times New Roman" w:hAnsi="Times New Roman" w:eastAsia="仿宋_GB2312" w:cs="Times New Roman"/>
                <w:b/>
              </w:rPr>
            </w:pPr>
            <w:r>
              <w:rPr>
                <w:rFonts w:hint="eastAsia" w:ascii="Times New Roman" w:hAnsi="Times New Roman" w:eastAsia="仿宋_GB2312" w:cs="Times New Roman"/>
                <w:b/>
                <w:lang w:eastAsia="zh-CN"/>
              </w:rPr>
              <w:t>事业单位</w:t>
            </w:r>
          </w:p>
        </w:tc>
        <w:tc>
          <w:tcPr>
            <w:tcW w:w="1276" w:type="dxa"/>
            <w:shd w:val="clear" w:color="auto" w:fill="auto"/>
            <w:vAlign w:val="center"/>
          </w:tcPr>
          <w:p>
            <w:pPr>
              <w:spacing w:line="584" w:lineRule="exact"/>
              <w:jc w:val="center"/>
              <w:rPr>
                <w:rFonts w:hint="eastAsia" w:ascii="Times New Roman" w:hAnsi="Times New Roman" w:eastAsia="仿宋_GB2312" w:cs="Times New Roman"/>
                <w:b/>
                <w:lang w:eastAsia="zh-CN"/>
              </w:rPr>
            </w:pPr>
            <w:r>
              <w:rPr>
                <w:rFonts w:hint="eastAsia" w:ascii="Times New Roman" w:hAnsi="Times New Roman" w:eastAsia="仿宋_GB2312" w:cs="Times New Roman"/>
                <w:b/>
                <w:lang w:eastAsia="zh-CN"/>
              </w:rPr>
              <w:t>正处级</w:t>
            </w:r>
          </w:p>
        </w:tc>
        <w:tc>
          <w:tcPr>
            <w:tcW w:w="2902" w:type="dxa"/>
            <w:shd w:val="clear" w:color="auto" w:fill="auto"/>
            <w:vAlign w:val="center"/>
          </w:tcPr>
          <w:p>
            <w:pPr>
              <w:spacing w:line="584" w:lineRule="exact"/>
              <w:jc w:val="center"/>
              <w:rPr>
                <w:rFonts w:ascii="Times New Roman" w:hAnsi="Times New Roman" w:eastAsia="仿宋_GB2312" w:cs="Times New Roman"/>
                <w:b/>
              </w:rPr>
            </w:pPr>
            <w:r>
              <w:rPr>
                <w:rFonts w:hint="eastAsia" w:ascii="Times New Roman" w:hAnsi="Times New Roman" w:eastAsia="仿宋_GB2312" w:cs="Times New Roman"/>
                <w:b/>
                <w:lang w:eastAsia="zh-CN"/>
              </w:rPr>
              <w:t>财政性资金基本保证</w:t>
            </w:r>
          </w:p>
        </w:tc>
      </w:tr>
    </w:tbl>
    <w:p>
      <w:pPr>
        <w:spacing w:line="584" w:lineRule="exact"/>
        <w:ind w:firstLine="640" w:firstLineChars="200"/>
        <w:rPr>
          <w:rFonts w:ascii="Times New Roman" w:hAnsi="Times New Roman" w:eastAsia="黑体" w:cs="Times New Roman"/>
          <w:sz w:val="32"/>
          <w:szCs w:val="32"/>
        </w:rPr>
      </w:pPr>
    </w:p>
    <w:p>
      <w:pPr>
        <w:spacing w:line="584"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二、部门预算安排的总体情况</w:t>
      </w:r>
    </w:p>
    <w:p>
      <w:pPr>
        <w:spacing w:line="58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按照预算管理有关规定，目前我市部门预算的编制实行综合预算制度，即全部收入和支出都反映在预算中。廊坊市</w:t>
      </w:r>
      <w:r>
        <w:rPr>
          <w:rFonts w:hint="eastAsia" w:ascii="Times New Roman" w:hAnsi="Times New Roman" w:eastAsia="仿宋_GB2312" w:cs="Times New Roman"/>
          <w:sz w:val="32"/>
          <w:szCs w:val="32"/>
          <w:lang w:eastAsia="zh-CN"/>
        </w:rPr>
        <w:t>农林科学院机关</w:t>
      </w:r>
      <w:r>
        <w:rPr>
          <w:rFonts w:ascii="Times New Roman" w:hAnsi="Times New Roman" w:eastAsia="仿宋_GB2312" w:cs="Times New Roman"/>
          <w:sz w:val="32"/>
          <w:szCs w:val="32"/>
        </w:rPr>
        <w:t>及所属事业单位的收支包含在部门预算中。</w:t>
      </w:r>
    </w:p>
    <w:p>
      <w:pPr>
        <w:spacing w:line="584" w:lineRule="exact"/>
        <w:ind w:firstLine="640"/>
        <w:rPr>
          <w:rFonts w:ascii="Times New Roman" w:hAnsi="Times New Roman" w:eastAsia="仿宋_GB2312" w:cs="Times New Roman"/>
          <w:b/>
          <w:sz w:val="32"/>
          <w:szCs w:val="32"/>
        </w:rPr>
      </w:pPr>
      <w:r>
        <w:rPr>
          <w:rFonts w:ascii="Times New Roman" w:hAnsi="Times New Roman" w:eastAsia="仿宋_GB2312" w:cs="Times New Roman"/>
          <w:b/>
          <w:sz w:val="32"/>
          <w:szCs w:val="32"/>
        </w:rPr>
        <w:t>1、</w:t>
      </w:r>
      <w:r>
        <w:rPr>
          <w:rFonts w:hint="eastAsia" w:ascii="楷体" w:hAnsi="楷体" w:eastAsia="楷体" w:cs="楷体"/>
          <w:b/>
          <w:sz w:val="32"/>
          <w:szCs w:val="32"/>
        </w:rPr>
        <w:t>收入说明</w:t>
      </w:r>
    </w:p>
    <w:p>
      <w:pPr>
        <w:spacing w:line="584" w:lineRule="exact"/>
        <w:ind w:firstLine="640"/>
        <w:rPr>
          <w:rFonts w:hint="eastAsia" w:ascii="Times New Roman" w:hAnsi="Times New Roman" w:eastAsia="仿宋_GB2312" w:cs="Times New Roman"/>
          <w:sz w:val="32"/>
          <w:szCs w:val="32"/>
          <w:lang w:val="en-US" w:eastAsia="zh-CN"/>
        </w:rPr>
      </w:pPr>
      <w:r>
        <w:rPr>
          <w:rFonts w:ascii="Times New Roman" w:hAnsi="Times New Roman" w:eastAsia="仿宋_GB2312" w:cs="Times New Roman"/>
          <w:sz w:val="32"/>
          <w:szCs w:val="32"/>
        </w:rPr>
        <w:t>反映本部门当年全部收入。20</w:t>
      </w:r>
      <w:r>
        <w:rPr>
          <w:rFonts w:hint="eastAsia"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年预算收入</w:t>
      </w:r>
      <w:r>
        <w:rPr>
          <w:rFonts w:hint="eastAsia" w:ascii="Times New Roman" w:hAnsi="Times New Roman" w:eastAsia="仿宋_GB2312" w:cs="Times New Roman"/>
          <w:sz w:val="32"/>
          <w:szCs w:val="32"/>
          <w:lang w:val="en-US" w:eastAsia="zh-CN"/>
        </w:rPr>
        <w:t>3115.86</w:t>
      </w:r>
      <w:r>
        <w:rPr>
          <w:rFonts w:ascii="Times New Roman" w:hAnsi="Times New Roman" w:eastAsia="仿宋_GB2312" w:cs="Times New Roman"/>
          <w:sz w:val="32"/>
          <w:szCs w:val="32"/>
        </w:rPr>
        <w:t>万元，其中：一般公共预算收入</w:t>
      </w:r>
      <w:r>
        <w:rPr>
          <w:rFonts w:hint="eastAsia" w:ascii="Times New Roman" w:hAnsi="Times New Roman" w:eastAsia="仿宋_GB2312" w:cs="Times New Roman"/>
          <w:sz w:val="32"/>
          <w:szCs w:val="32"/>
          <w:lang w:val="en-US" w:eastAsia="zh-CN"/>
        </w:rPr>
        <w:t>3110.86</w:t>
      </w:r>
      <w:r>
        <w:rPr>
          <w:rFonts w:ascii="Times New Roman" w:hAnsi="Times New Roman" w:eastAsia="仿宋_GB2312" w:cs="Times New Roman"/>
          <w:sz w:val="32"/>
          <w:szCs w:val="32"/>
        </w:rPr>
        <w:t>万元，基金预算收入</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万元，财政专户核拨收入</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万元，其他来源收入</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上年结转</w:t>
      </w:r>
      <w:r>
        <w:rPr>
          <w:rFonts w:hint="eastAsia" w:ascii="Times New Roman" w:hAnsi="Times New Roman" w:eastAsia="仿宋_GB2312" w:cs="Times New Roman"/>
          <w:sz w:val="32"/>
          <w:szCs w:val="32"/>
          <w:lang w:val="en-US" w:eastAsia="zh-CN"/>
        </w:rPr>
        <w:t>5</w:t>
      </w:r>
      <w:r>
        <w:rPr>
          <w:rFonts w:hint="eastAsia" w:ascii="Times New Roman" w:hAnsi="Times New Roman" w:eastAsia="仿宋_GB2312" w:cs="Times New Roman"/>
          <w:sz w:val="32"/>
          <w:szCs w:val="32"/>
        </w:rPr>
        <w:t>万元</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 xml:space="preserve">      </w:t>
      </w:r>
    </w:p>
    <w:p>
      <w:pPr>
        <w:spacing w:line="584" w:lineRule="exact"/>
        <w:ind w:firstLine="640"/>
        <w:rPr>
          <w:rFonts w:ascii="Times New Roman" w:hAnsi="Times New Roman" w:eastAsia="仿宋_GB2312" w:cs="Times New Roman"/>
          <w:b/>
          <w:sz w:val="32"/>
          <w:szCs w:val="32"/>
        </w:rPr>
      </w:pPr>
      <w:r>
        <w:rPr>
          <w:rFonts w:ascii="Times New Roman" w:hAnsi="Times New Roman" w:eastAsia="仿宋_GB2312" w:cs="Times New Roman"/>
          <w:b/>
          <w:sz w:val="32"/>
          <w:szCs w:val="32"/>
        </w:rPr>
        <w:t>2</w:t>
      </w:r>
      <w:r>
        <w:rPr>
          <w:rFonts w:hint="eastAsia" w:ascii="楷体" w:hAnsi="楷体" w:eastAsia="楷体" w:cs="楷体"/>
          <w:b/>
          <w:sz w:val="32"/>
          <w:szCs w:val="32"/>
        </w:rPr>
        <w:t>、支出说明</w:t>
      </w:r>
    </w:p>
    <w:p>
      <w:pPr>
        <w:spacing w:line="584" w:lineRule="exact"/>
        <w:ind w:firstLine="640"/>
        <w:rPr>
          <w:rFonts w:hint="eastAsia" w:ascii="Times New Roman" w:hAnsi="Times New Roman" w:eastAsia="仿宋_GB2312" w:cs="Times New Roman"/>
          <w:sz w:val="32"/>
          <w:szCs w:val="32"/>
          <w:lang w:eastAsia="zh-CN"/>
        </w:rPr>
      </w:pPr>
      <w:r>
        <w:rPr>
          <w:rFonts w:ascii="Times New Roman" w:hAnsi="Times New Roman" w:eastAsia="仿宋_GB2312" w:cs="Times New Roman"/>
          <w:sz w:val="32"/>
          <w:szCs w:val="32"/>
        </w:rPr>
        <w:t>收支预算总表支出栏、基本支出表、项目支出表按经济分类和支出功能分类科目编制，反映廊坊市</w:t>
      </w:r>
      <w:r>
        <w:rPr>
          <w:rFonts w:hint="eastAsia" w:ascii="Times New Roman" w:hAnsi="Times New Roman" w:eastAsia="仿宋_GB2312" w:cs="Times New Roman"/>
          <w:sz w:val="32"/>
          <w:szCs w:val="32"/>
          <w:lang w:eastAsia="zh-CN"/>
        </w:rPr>
        <w:t>农林科学院</w:t>
      </w:r>
      <w:r>
        <w:rPr>
          <w:rFonts w:ascii="Times New Roman" w:hAnsi="Times New Roman" w:eastAsia="仿宋_GB2312" w:cs="Times New Roman"/>
          <w:sz w:val="32"/>
          <w:szCs w:val="32"/>
        </w:rPr>
        <w:t>年度部门预算中支出预算的总体情况。20</w:t>
      </w:r>
      <w:r>
        <w:rPr>
          <w:rFonts w:hint="eastAsia"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年支出预算</w:t>
      </w:r>
      <w:r>
        <w:rPr>
          <w:rFonts w:hint="eastAsia" w:ascii="Times New Roman" w:hAnsi="Times New Roman" w:eastAsia="仿宋_GB2312" w:cs="Times New Roman"/>
          <w:sz w:val="32"/>
          <w:szCs w:val="32"/>
          <w:lang w:val="en-US" w:eastAsia="zh-CN"/>
        </w:rPr>
        <w:t>3115.86</w:t>
      </w:r>
      <w:r>
        <w:rPr>
          <w:rFonts w:ascii="Times New Roman" w:hAnsi="Times New Roman" w:eastAsia="仿宋_GB2312" w:cs="Times New Roman"/>
          <w:sz w:val="32"/>
          <w:szCs w:val="32"/>
        </w:rPr>
        <w:t>万元，其中基本支出</w:t>
      </w:r>
      <w:r>
        <w:rPr>
          <w:rFonts w:hint="eastAsia" w:ascii="Times New Roman" w:hAnsi="Times New Roman" w:eastAsia="仿宋_GB2312" w:cs="Times New Roman"/>
          <w:sz w:val="32"/>
          <w:szCs w:val="32"/>
          <w:lang w:val="en-US" w:eastAsia="zh-CN"/>
        </w:rPr>
        <w:t>2965.54</w:t>
      </w:r>
      <w:r>
        <w:rPr>
          <w:rFonts w:ascii="Times New Roman" w:hAnsi="Times New Roman" w:eastAsia="仿宋_GB2312" w:cs="Times New Roman"/>
          <w:sz w:val="32"/>
          <w:szCs w:val="32"/>
        </w:rPr>
        <w:t>万元，包括人员类项目经费</w:t>
      </w:r>
      <w:r>
        <w:rPr>
          <w:rFonts w:hint="eastAsia" w:ascii="Times New Roman" w:hAnsi="Times New Roman" w:eastAsia="仿宋_GB2312" w:cs="Times New Roman"/>
          <w:sz w:val="32"/>
          <w:szCs w:val="32"/>
          <w:lang w:val="en-US" w:eastAsia="zh-CN"/>
        </w:rPr>
        <w:t>2801.98</w:t>
      </w:r>
      <w:r>
        <w:rPr>
          <w:rFonts w:ascii="Times New Roman" w:hAnsi="Times New Roman" w:eastAsia="仿宋_GB2312" w:cs="Times New Roman"/>
          <w:sz w:val="32"/>
          <w:szCs w:val="32"/>
        </w:rPr>
        <w:t>万元和</w:t>
      </w:r>
      <w:r>
        <w:rPr>
          <w:rFonts w:hint="eastAsia" w:ascii="Times New Roman" w:hAnsi="Times New Roman" w:eastAsia="仿宋_GB2312" w:cs="Times New Roman"/>
          <w:sz w:val="32"/>
          <w:szCs w:val="32"/>
        </w:rPr>
        <w:t>运转类</w:t>
      </w:r>
      <w:r>
        <w:rPr>
          <w:rFonts w:ascii="Times New Roman" w:hAnsi="Times New Roman" w:eastAsia="仿宋_GB2312" w:cs="Times New Roman"/>
          <w:sz w:val="32"/>
          <w:szCs w:val="32"/>
        </w:rPr>
        <w:t>公用项目经费</w:t>
      </w:r>
      <w:r>
        <w:rPr>
          <w:rFonts w:hint="eastAsia" w:ascii="Times New Roman" w:hAnsi="Times New Roman" w:eastAsia="仿宋_GB2312" w:cs="Times New Roman"/>
          <w:sz w:val="32"/>
          <w:szCs w:val="32"/>
          <w:lang w:val="en-US" w:eastAsia="zh-CN"/>
        </w:rPr>
        <w:t>163.56</w:t>
      </w:r>
      <w:r>
        <w:rPr>
          <w:rFonts w:ascii="Times New Roman" w:hAnsi="Times New Roman" w:eastAsia="仿宋_GB2312" w:cs="Times New Roman"/>
          <w:sz w:val="32"/>
          <w:szCs w:val="32"/>
        </w:rPr>
        <w:t>万元；运转类其他及特定目标类项目支出</w:t>
      </w:r>
      <w:r>
        <w:rPr>
          <w:rFonts w:hint="eastAsia" w:ascii="Times New Roman" w:hAnsi="Times New Roman" w:eastAsia="仿宋_GB2312" w:cs="Times New Roman"/>
          <w:sz w:val="32"/>
          <w:szCs w:val="32"/>
          <w:lang w:val="en-US" w:eastAsia="zh-CN"/>
        </w:rPr>
        <w:t>150.32</w:t>
      </w:r>
      <w:r>
        <w:rPr>
          <w:rFonts w:ascii="Times New Roman" w:hAnsi="Times New Roman" w:eastAsia="仿宋_GB2312" w:cs="Times New Roman"/>
          <w:sz w:val="32"/>
          <w:szCs w:val="32"/>
        </w:rPr>
        <w:t>万元，包括本级支出</w:t>
      </w:r>
      <w:r>
        <w:rPr>
          <w:rFonts w:hint="eastAsia" w:ascii="Times New Roman" w:hAnsi="Times New Roman" w:eastAsia="仿宋_GB2312" w:cs="Times New Roman"/>
          <w:sz w:val="32"/>
          <w:szCs w:val="32"/>
          <w:lang w:val="en-US" w:eastAsia="zh-CN"/>
        </w:rPr>
        <w:t>150.32万元</w:t>
      </w:r>
      <w:r>
        <w:rPr>
          <w:rFonts w:ascii="Times New Roman" w:hAnsi="Times New Roman" w:eastAsia="仿宋_GB2312" w:cs="Times New Roman"/>
          <w:sz w:val="32"/>
          <w:szCs w:val="32"/>
        </w:rPr>
        <w:t>，主要为</w:t>
      </w:r>
      <w:r>
        <w:rPr>
          <w:rFonts w:hint="eastAsia" w:ascii="Times New Roman" w:hAnsi="Times New Roman" w:eastAsia="仿宋_GB2312" w:cs="Times New Roman"/>
          <w:sz w:val="32"/>
          <w:szCs w:val="32"/>
          <w:lang w:eastAsia="zh-CN"/>
        </w:rPr>
        <w:t>农业科技综合服务运维项目，廊坊市重要农业种质资源创新及农、牧业关键技术研究示范项目</w:t>
      </w:r>
      <w:r>
        <w:rPr>
          <w:rFonts w:ascii="Times New Roman" w:hAnsi="Times New Roman" w:eastAsia="仿宋_GB2312" w:cs="Times New Roman"/>
          <w:sz w:val="32"/>
          <w:szCs w:val="32"/>
        </w:rPr>
        <w:t>等</w:t>
      </w:r>
      <w:r>
        <w:rPr>
          <w:rFonts w:hint="eastAsia" w:ascii="Times New Roman" w:hAnsi="Times New Roman" w:eastAsia="仿宋_GB2312" w:cs="Times New Roman"/>
          <w:sz w:val="32"/>
          <w:szCs w:val="32"/>
          <w:lang w:eastAsia="zh-CN"/>
        </w:rPr>
        <w:t>。</w:t>
      </w:r>
    </w:p>
    <w:p>
      <w:pPr>
        <w:spacing w:line="584" w:lineRule="exact"/>
        <w:ind w:firstLine="640"/>
        <w:rPr>
          <w:rFonts w:ascii="Times New Roman" w:hAnsi="Times New Roman" w:eastAsia="仿宋_GB2312" w:cs="Times New Roman"/>
          <w:b/>
          <w:sz w:val="32"/>
          <w:szCs w:val="32"/>
        </w:rPr>
      </w:pPr>
      <w:r>
        <w:rPr>
          <w:rFonts w:ascii="Times New Roman" w:hAnsi="Times New Roman" w:eastAsia="仿宋_GB2312" w:cs="Times New Roman"/>
          <w:b/>
          <w:sz w:val="32"/>
          <w:szCs w:val="32"/>
        </w:rPr>
        <w:t>3、</w:t>
      </w:r>
      <w:r>
        <w:rPr>
          <w:rFonts w:hint="eastAsia" w:ascii="楷体" w:hAnsi="楷体" w:eastAsia="楷体" w:cs="楷体"/>
          <w:b/>
          <w:sz w:val="32"/>
          <w:szCs w:val="32"/>
        </w:rPr>
        <w:t>比上年增减情况</w:t>
      </w:r>
    </w:p>
    <w:p>
      <w:pPr>
        <w:spacing w:line="584" w:lineRule="exact"/>
        <w:ind w:firstLine="640"/>
        <w:rPr>
          <w:rFonts w:ascii="Times New Roman" w:hAnsi="Times New Roman" w:eastAsia="仿宋_GB2312" w:cs="Times New Roman"/>
          <w:sz w:val="32"/>
          <w:szCs w:val="32"/>
        </w:rPr>
      </w:pP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年预算收支安排</w:t>
      </w:r>
      <w:r>
        <w:rPr>
          <w:rFonts w:hint="eastAsia" w:ascii="Times New Roman" w:hAnsi="Times New Roman" w:eastAsia="仿宋_GB2312" w:cs="Times New Roman"/>
          <w:sz w:val="32"/>
          <w:szCs w:val="32"/>
          <w:lang w:val="en-US" w:eastAsia="zh-CN"/>
        </w:rPr>
        <w:t>3115.86</w:t>
      </w:r>
      <w:r>
        <w:rPr>
          <w:rFonts w:ascii="Times New Roman" w:hAnsi="Times New Roman" w:eastAsia="仿宋_GB2312" w:cs="Times New Roman"/>
          <w:sz w:val="32"/>
          <w:szCs w:val="32"/>
        </w:rPr>
        <w:t>万元，较20</w:t>
      </w:r>
      <w:r>
        <w:rPr>
          <w:rFonts w:hint="eastAsia"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年预算</w:t>
      </w:r>
      <w:r>
        <w:rPr>
          <w:rFonts w:hint="eastAsia" w:ascii="Times New Roman" w:hAnsi="Times New Roman" w:eastAsia="仿宋_GB2312" w:cs="Times New Roman"/>
          <w:sz w:val="32"/>
          <w:szCs w:val="32"/>
          <w:lang w:eastAsia="zh-CN"/>
        </w:rPr>
        <w:t>减少</w:t>
      </w:r>
      <w:r>
        <w:rPr>
          <w:rFonts w:hint="eastAsia" w:ascii="Times New Roman" w:hAnsi="Times New Roman" w:eastAsia="仿宋_GB2312" w:cs="Times New Roman"/>
          <w:sz w:val="32"/>
          <w:szCs w:val="32"/>
          <w:lang w:val="en-US" w:eastAsia="zh-CN"/>
        </w:rPr>
        <w:t>8.27</w:t>
      </w:r>
      <w:r>
        <w:rPr>
          <w:rFonts w:ascii="Times New Roman" w:hAnsi="Times New Roman" w:eastAsia="仿宋_GB2312" w:cs="Times New Roman"/>
          <w:sz w:val="32"/>
          <w:szCs w:val="32"/>
        </w:rPr>
        <w:t>万元，其中：基本支出增加</w:t>
      </w:r>
      <w:r>
        <w:rPr>
          <w:rFonts w:hint="eastAsia" w:ascii="Times New Roman" w:hAnsi="Times New Roman" w:eastAsia="仿宋_GB2312" w:cs="Times New Roman"/>
          <w:sz w:val="32"/>
          <w:szCs w:val="32"/>
          <w:lang w:val="en-US" w:eastAsia="zh-CN"/>
        </w:rPr>
        <w:t>91.31</w:t>
      </w:r>
      <w:r>
        <w:rPr>
          <w:rFonts w:ascii="Times New Roman" w:hAnsi="Times New Roman" w:eastAsia="仿宋_GB2312" w:cs="Times New Roman"/>
          <w:sz w:val="32"/>
          <w:szCs w:val="32"/>
        </w:rPr>
        <w:t>万元，主要为</w:t>
      </w:r>
      <w:r>
        <w:rPr>
          <w:rFonts w:hint="eastAsia" w:ascii="Times New Roman" w:hAnsi="Times New Roman" w:eastAsia="仿宋_GB2312" w:cs="Times New Roman"/>
          <w:sz w:val="32"/>
          <w:szCs w:val="32"/>
          <w:lang w:eastAsia="zh-CN"/>
        </w:rPr>
        <w:t>人员经费</w:t>
      </w:r>
      <w:r>
        <w:rPr>
          <w:rFonts w:ascii="Times New Roman" w:hAnsi="Times New Roman" w:eastAsia="仿宋_GB2312" w:cs="Times New Roman"/>
          <w:sz w:val="32"/>
          <w:szCs w:val="32"/>
        </w:rPr>
        <w:t>支出；项目支出</w:t>
      </w:r>
      <w:r>
        <w:rPr>
          <w:rFonts w:hint="eastAsia" w:ascii="Times New Roman" w:hAnsi="Times New Roman" w:eastAsia="仿宋_GB2312" w:cs="Times New Roman"/>
          <w:sz w:val="32"/>
          <w:szCs w:val="32"/>
          <w:lang w:eastAsia="zh-CN"/>
        </w:rPr>
        <w:t>减少</w:t>
      </w:r>
      <w:r>
        <w:rPr>
          <w:rFonts w:hint="eastAsia" w:ascii="Times New Roman" w:hAnsi="Times New Roman" w:eastAsia="仿宋_GB2312" w:cs="Times New Roman"/>
          <w:sz w:val="32"/>
          <w:szCs w:val="32"/>
          <w:lang w:val="en-US" w:eastAsia="zh-CN"/>
        </w:rPr>
        <w:t>99.58</w:t>
      </w:r>
      <w:r>
        <w:rPr>
          <w:rFonts w:ascii="Times New Roman" w:hAnsi="Times New Roman" w:eastAsia="仿宋_GB2312" w:cs="Times New Roman"/>
          <w:sz w:val="32"/>
          <w:szCs w:val="32"/>
        </w:rPr>
        <w:t>万元，主要</w:t>
      </w:r>
      <w:r>
        <w:rPr>
          <w:rFonts w:hint="eastAsia" w:ascii="Times New Roman" w:hAnsi="Times New Roman" w:eastAsia="仿宋_GB2312" w:cs="Times New Roman"/>
          <w:sz w:val="32"/>
          <w:szCs w:val="32"/>
          <w:lang w:eastAsia="zh-CN"/>
        </w:rPr>
        <w:t>为廊坊市重要种质资源创新及农、牧业关键技术研究示范</w:t>
      </w:r>
      <w:r>
        <w:rPr>
          <w:rFonts w:ascii="Times New Roman" w:hAnsi="Times New Roman" w:eastAsia="仿宋_GB2312" w:cs="Times New Roman"/>
          <w:sz w:val="32"/>
          <w:szCs w:val="32"/>
        </w:rPr>
        <w:t>项目支出。</w:t>
      </w:r>
    </w:p>
    <w:p>
      <w:pPr>
        <w:autoSpaceDE w:val="0"/>
        <w:autoSpaceDN w:val="0"/>
        <w:adjustRightInd w:val="0"/>
        <w:spacing w:line="584" w:lineRule="exact"/>
        <w:ind w:left="198"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三、机关运行经费安排情况</w:t>
      </w:r>
    </w:p>
    <w:p>
      <w:pPr>
        <w:autoSpaceDE w:val="0"/>
        <w:autoSpaceDN w:val="0"/>
        <w:adjustRightInd w:val="0"/>
        <w:spacing w:line="584" w:lineRule="exact"/>
        <w:ind w:left="198"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年，我</w:t>
      </w:r>
      <w:r>
        <w:rPr>
          <w:rFonts w:hint="eastAsia" w:ascii="Times New Roman" w:hAnsi="Times New Roman" w:eastAsia="仿宋_GB2312" w:cs="Times New Roman"/>
          <w:sz w:val="32"/>
          <w:szCs w:val="32"/>
          <w:lang w:eastAsia="zh-CN"/>
        </w:rPr>
        <w:t>院</w:t>
      </w:r>
      <w:r>
        <w:rPr>
          <w:rFonts w:ascii="Times New Roman" w:hAnsi="Times New Roman" w:eastAsia="仿宋_GB2312" w:cs="Times New Roman"/>
          <w:sz w:val="32"/>
          <w:szCs w:val="32"/>
        </w:rPr>
        <w:t>机关运行经费共计安排</w:t>
      </w:r>
      <w:r>
        <w:rPr>
          <w:rFonts w:hint="eastAsia" w:ascii="Times New Roman" w:hAnsi="Times New Roman" w:eastAsia="仿宋_GB2312" w:cs="Times New Roman"/>
          <w:sz w:val="32"/>
          <w:szCs w:val="32"/>
          <w:lang w:val="en-US" w:eastAsia="zh-CN"/>
        </w:rPr>
        <w:t>163.56</w:t>
      </w:r>
      <w:r>
        <w:rPr>
          <w:rFonts w:ascii="Times New Roman" w:hAnsi="Times New Roman" w:eastAsia="仿宋_GB2312" w:cs="Times New Roman"/>
          <w:sz w:val="32"/>
          <w:szCs w:val="32"/>
        </w:rPr>
        <w:t>万元，主要用于办公区的日常维修、办公用房水电费、办公用房取暖费、办公用房物业管理费等日常运行支出。</w:t>
      </w:r>
    </w:p>
    <w:p>
      <w:pPr>
        <w:autoSpaceDE w:val="0"/>
        <w:autoSpaceDN w:val="0"/>
        <w:adjustRightInd w:val="0"/>
        <w:spacing w:line="584" w:lineRule="exact"/>
        <w:ind w:left="198" w:firstLine="640" w:firstLineChars="200"/>
        <w:jc w:val="left"/>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t>四、财政拨款“三公”经费预算情况及增减变化原因</w:t>
      </w:r>
    </w:p>
    <w:p>
      <w:pPr>
        <w:autoSpaceDE w:val="0"/>
        <w:autoSpaceDN w:val="0"/>
        <w:adjustRightInd w:val="0"/>
        <w:spacing w:line="584" w:lineRule="exact"/>
        <w:ind w:left="197" w:leftChars="94"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color w:val="000000" w:themeColor="text1"/>
          <w:sz w:val="32"/>
          <w:szCs w:val="32"/>
          <w:highlight w:val="none"/>
          <w:shd w:val="clear" w:color="auto" w:fill="auto"/>
        </w:rPr>
        <w:t>20</w:t>
      </w:r>
      <w:r>
        <w:rPr>
          <w:rFonts w:hint="eastAsia" w:ascii="Times New Roman" w:hAnsi="Times New Roman" w:eastAsia="仿宋_GB2312" w:cs="Times New Roman"/>
          <w:color w:val="000000" w:themeColor="text1"/>
          <w:sz w:val="32"/>
          <w:szCs w:val="32"/>
          <w:highlight w:val="none"/>
          <w:shd w:val="clear" w:color="auto" w:fill="auto"/>
        </w:rPr>
        <w:t>2</w:t>
      </w:r>
      <w:r>
        <w:rPr>
          <w:rFonts w:hint="eastAsia" w:ascii="Times New Roman" w:hAnsi="Times New Roman" w:eastAsia="仿宋_GB2312" w:cs="Times New Roman"/>
          <w:color w:val="000000" w:themeColor="text1"/>
          <w:sz w:val="32"/>
          <w:szCs w:val="32"/>
          <w:highlight w:val="none"/>
          <w:shd w:val="clear" w:color="auto" w:fill="auto"/>
          <w:lang w:val="en-US" w:eastAsia="zh-CN"/>
        </w:rPr>
        <w:t>3</w:t>
      </w:r>
      <w:r>
        <w:rPr>
          <w:rFonts w:ascii="Times New Roman" w:hAnsi="Times New Roman" w:eastAsia="仿宋_GB2312" w:cs="Times New Roman"/>
          <w:sz w:val="32"/>
          <w:szCs w:val="32"/>
        </w:rPr>
        <w:t>年，我</w:t>
      </w:r>
      <w:r>
        <w:rPr>
          <w:rFonts w:hint="eastAsia" w:ascii="Times New Roman" w:hAnsi="Times New Roman" w:eastAsia="仿宋_GB2312" w:cs="Times New Roman"/>
          <w:sz w:val="32"/>
          <w:szCs w:val="32"/>
          <w:lang w:eastAsia="zh-CN"/>
        </w:rPr>
        <w:t>院</w:t>
      </w:r>
      <w:r>
        <w:rPr>
          <w:rFonts w:ascii="Times New Roman" w:hAnsi="Times New Roman" w:eastAsia="仿宋_GB2312" w:cs="Times New Roman"/>
          <w:sz w:val="32"/>
          <w:szCs w:val="32"/>
        </w:rPr>
        <w:t>财政拨款“三公”经费预算安排</w:t>
      </w:r>
      <w:r>
        <w:rPr>
          <w:rFonts w:hint="eastAsia" w:ascii="Times New Roman" w:hAnsi="Times New Roman" w:eastAsia="仿宋_GB2312" w:cs="Times New Roman"/>
          <w:sz w:val="32"/>
          <w:szCs w:val="32"/>
          <w:lang w:val="en-US" w:eastAsia="zh-CN"/>
        </w:rPr>
        <w:t xml:space="preserve"> 9.15</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其中</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因公出国（境）费</w:t>
      </w:r>
      <w:r>
        <w:rPr>
          <w:rFonts w:hint="eastAsia" w:ascii="Times New Roman" w:hAnsi="Times New Roman" w:eastAsia="仿宋_GB2312" w:cs="Times New Roman"/>
          <w:sz w:val="32"/>
          <w:szCs w:val="32"/>
          <w:lang w:val="en-US" w:eastAsia="zh-CN"/>
        </w:rPr>
        <w:t xml:space="preserve"> 0</w:t>
      </w:r>
      <w:r>
        <w:rPr>
          <w:rFonts w:ascii="Times New Roman" w:hAnsi="Times New Roman" w:eastAsia="仿宋_GB2312" w:cs="Times New Roman"/>
          <w:sz w:val="32"/>
          <w:szCs w:val="32"/>
        </w:rPr>
        <w:t>万元；公务用车购置及运维费</w:t>
      </w:r>
      <w:r>
        <w:rPr>
          <w:rFonts w:hint="eastAsia" w:ascii="Times New Roman" w:hAnsi="Times New Roman" w:eastAsia="仿宋_GB2312" w:cs="Times New Roman"/>
          <w:sz w:val="32"/>
          <w:szCs w:val="32"/>
          <w:lang w:val="en-US" w:eastAsia="zh-CN"/>
        </w:rPr>
        <w:t>8.73</w:t>
      </w:r>
      <w:r>
        <w:rPr>
          <w:rFonts w:ascii="Times New Roman" w:hAnsi="Times New Roman" w:eastAsia="仿宋_GB2312" w:cs="Times New Roman"/>
          <w:sz w:val="32"/>
          <w:szCs w:val="32"/>
        </w:rPr>
        <w:t>万元（其中：公务用车购置费为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万元，公务用车运维费</w:t>
      </w:r>
      <w:r>
        <w:rPr>
          <w:rFonts w:hint="eastAsia" w:ascii="Times New Roman" w:hAnsi="Times New Roman" w:eastAsia="仿宋_GB2312" w:cs="Times New Roman"/>
          <w:sz w:val="32"/>
          <w:szCs w:val="32"/>
          <w:lang w:val="en-US" w:eastAsia="zh-CN"/>
        </w:rPr>
        <w:t>8.73</w:t>
      </w:r>
      <w:r>
        <w:rPr>
          <w:rFonts w:ascii="Times New Roman" w:hAnsi="Times New Roman" w:eastAsia="仿宋_GB2312" w:cs="Times New Roman"/>
          <w:sz w:val="32"/>
          <w:szCs w:val="32"/>
        </w:rPr>
        <w:t>万元)；公务接待费</w:t>
      </w:r>
      <w:r>
        <w:rPr>
          <w:rFonts w:hint="eastAsia" w:ascii="Times New Roman" w:hAnsi="Times New Roman" w:eastAsia="仿宋_GB2312" w:cs="Times New Roman"/>
          <w:sz w:val="32"/>
          <w:szCs w:val="32"/>
          <w:lang w:val="en-US" w:eastAsia="zh-CN"/>
        </w:rPr>
        <w:t>0.42</w:t>
      </w:r>
      <w:r>
        <w:rPr>
          <w:rFonts w:ascii="Times New Roman" w:hAnsi="Times New Roman" w:eastAsia="仿宋_GB2312" w:cs="Times New Roman"/>
          <w:sz w:val="32"/>
          <w:szCs w:val="32"/>
        </w:rPr>
        <w:t>万元。与20</w:t>
      </w:r>
      <w:r>
        <w:rPr>
          <w:rFonts w:hint="eastAsia"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rPr>
        <w:t>相比持平</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无增减变化。</w:t>
      </w:r>
    </w:p>
    <w:p>
      <w:pPr>
        <w:spacing w:line="584" w:lineRule="exact"/>
        <w:ind w:firstLine="960" w:firstLineChars="300"/>
        <w:rPr>
          <w:rFonts w:ascii="Times New Roman" w:hAnsi="Times New Roman" w:eastAsia="黑体" w:cs="Times New Roman"/>
          <w:sz w:val="32"/>
          <w:szCs w:val="32"/>
        </w:rPr>
      </w:pPr>
      <w:r>
        <w:rPr>
          <w:rFonts w:ascii="Times New Roman" w:hAnsi="Times New Roman" w:eastAsia="黑体" w:cs="Times New Roman"/>
          <w:sz w:val="32"/>
          <w:szCs w:val="32"/>
        </w:rPr>
        <w:t>五</w:t>
      </w:r>
      <w:r>
        <w:rPr>
          <w:rFonts w:ascii="Times New Roman" w:hAnsi="Times New Roman" w:eastAsia="黑体" w:cs="Times New Roman"/>
          <w:sz w:val="32"/>
          <w:szCs w:val="32"/>
          <w:highlight w:val="none"/>
        </w:rPr>
        <w:t>、预算绩效</w:t>
      </w:r>
      <w:r>
        <w:rPr>
          <w:rFonts w:ascii="Times New Roman" w:hAnsi="Times New Roman" w:eastAsia="黑体" w:cs="Times New Roman"/>
          <w:sz w:val="32"/>
          <w:szCs w:val="32"/>
        </w:rPr>
        <w:t>信息</w:t>
      </w:r>
    </w:p>
    <w:p>
      <w:pPr>
        <w:spacing w:line="584" w:lineRule="exact"/>
        <w:ind w:firstLine="960" w:firstLineChars="300"/>
        <w:rPr>
          <w:rFonts w:ascii="Times New Roman" w:hAnsi="Times New Roman" w:eastAsia="黑体" w:cs="Times New Roman"/>
          <w:sz w:val="32"/>
          <w:szCs w:val="32"/>
        </w:rPr>
      </w:pPr>
      <w:r>
        <w:rPr>
          <w:rFonts w:hint="eastAsia" w:ascii="Times New Roman" w:hAnsi="Times New Roman" w:eastAsia="黑体" w:cs="Times New Roman"/>
          <w:sz w:val="32"/>
          <w:szCs w:val="32"/>
        </w:rPr>
        <w:t>第一部分</w:t>
      </w:r>
      <w:r>
        <w:rPr>
          <w:rFonts w:hint="eastAsia" w:ascii="Times New Roman" w:hAnsi="Times New Roman" w:eastAsia="黑体" w:cs="Times New Roman"/>
          <w:sz w:val="32"/>
          <w:szCs w:val="32"/>
          <w:lang w:val="en-US" w:eastAsia="zh-CN"/>
        </w:rPr>
        <w:t xml:space="preserve"> </w:t>
      </w:r>
      <w:r>
        <w:rPr>
          <w:rFonts w:hint="eastAsia" w:ascii="Times New Roman" w:hAnsi="Times New Roman" w:eastAsia="黑体" w:cs="Times New Roman"/>
          <w:sz w:val="32"/>
          <w:szCs w:val="32"/>
        </w:rPr>
        <w:t>部门整体绩效目标</w:t>
      </w:r>
    </w:p>
    <w:p>
      <w:pPr>
        <w:spacing w:line="584" w:lineRule="exact"/>
        <w:ind w:firstLine="963" w:firstLineChars="300"/>
        <w:rPr>
          <w:rFonts w:ascii="楷体_GB2312" w:eastAsia="楷体_GB2312" w:cs="Times New Roman"/>
          <w:b/>
          <w:sz w:val="32"/>
          <w:szCs w:val="32"/>
        </w:rPr>
      </w:pPr>
      <w:r>
        <w:rPr>
          <w:rFonts w:hint="eastAsia" w:ascii="楷体_GB2312" w:eastAsia="楷体_GB2312" w:cs="Times New Roman"/>
          <w:b/>
          <w:sz w:val="32"/>
          <w:szCs w:val="32"/>
        </w:rPr>
        <w:t>（一）总体绩效目标</w:t>
      </w:r>
    </w:p>
    <w:p>
      <w:pPr>
        <w:snapToGrid/>
        <w:spacing w:before="0" w:beforeAutospacing="0" w:after="0" w:afterAutospacing="0" w:line="560" w:lineRule="exact"/>
        <w:ind w:firstLine="960" w:firstLineChars="3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202</w:t>
      </w:r>
      <w:r>
        <w:rPr>
          <w:rFonts w:hint="eastAsia" w:ascii="Times New Roman" w:hAnsi="Times New Roman" w:eastAsia="仿宋_GB2312" w:cs="Times New Roman"/>
          <w:b w:val="0"/>
          <w:i w:val="0"/>
          <w:caps w:val="0"/>
          <w:spacing w:val="0"/>
          <w:w w:val="100"/>
          <w:sz w:val="32"/>
          <w:szCs w:val="32"/>
        </w:rPr>
        <w:t>3</w:t>
      </w:r>
      <w:r>
        <w:rPr>
          <w:rFonts w:ascii="Times New Roman" w:hAnsi="Times New Roman" w:eastAsia="仿宋_GB2312" w:cs="Times New Roman"/>
          <w:b w:val="0"/>
          <w:i w:val="0"/>
          <w:caps w:val="0"/>
          <w:spacing w:val="0"/>
          <w:w w:val="100"/>
          <w:sz w:val="32"/>
          <w:szCs w:val="32"/>
        </w:rPr>
        <w:t>年度，廊坊市农林科学院紧紧围绕本部门职责，以习近平新时代中国特色社会主义思想为指导，在市委、市政府的领导下，认真贯彻执行上级有关农业科研方面的政策和规定，在科技服务方面、示范推广方面、科研创新方面、平台建设方面取得新成效，实现新跨越。在示范推广方面，开展</w:t>
      </w:r>
      <w:r>
        <w:rPr>
          <w:rFonts w:hint="eastAsia" w:ascii="Times New Roman" w:hAnsi="Times New Roman" w:eastAsia="仿宋_GB2312" w:cs="Times New Roman"/>
          <w:b w:val="0"/>
          <w:i w:val="0"/>
          <w:caps w:val="0"/>
          <w:spacing w:val="0"/>
          <w:w w:val="100"/>
          <w:sz w:val="32"/>
          <w:szCs w:val="32"/>
        </w:rPr>
        <w:t>2</w:t>
      </w:r>
      <w:r>
        <w:rPr>
          <w:rFonts w:ascii="Times New Roman" w:hAnsi="Times New Roman" w:eastAsia="仿宋_GB2312" w:cs="Times New Roman"/>
          <w:b w:val="0"/>
          <w:i w:val="0"/>
          <w:caps w:val="0"/>
          <w:spacing w:val="0"/>
          <w:w w:val="100"/>
          <w:sz w:val="32"/>
          <w:szCs w:val="32"/>
        </w:rPr>
        <w:t>个子项目的示范，示范新技术、新品种</w:t>
      </w:r>
      <w:r>
        <w:rPr>
          <w:rFonts w:hint="eastAsia" w:ascii="Times New Roman" w:hAnsi="Times New Roman" w:eastAsia="仿宋_GB2312" w:cs="Times New Roman"/>
          <w:b w:val="0"/>
          <w:i w:val="0"/>
          <w:caps w:val="0"/>
          <w:spacing w:val="0"/>
          <w:w w:val="100"/>
          <w:sz w:val="32"/>
          <w:szCs w:val="32"/>
        </w:rPr>
        <w:t>2</w:t>
      </w:r>
      <w:r>
        <w:rPr>
          <w:rFonts w:ascii="Times New Roman" w:hAnsi="Times New Roman" w:eastAsia="仿宋_GB2312" w:cs="Times New Roman"/>
          <w:b w:val="0"/>
          <w:i w:val="0"/>
          <w:caps w:val="0"/>
          <w:spacing w:val="0"/>
          <w:w w:val="100"/>
          <w:sz w:val="32"/>
          <w:szCs w:val="32"/>
        </w:rPr>
        <w:t>个以上。在科研创新方面，开展</w:t>
      </w:r>
      <w:r>
        <w:rPr>
          <w:rFonts w:hint="eastAsia" w:ascii="Times New Roman" w:hAnsi="Times New Roman" w:eastAsia="仿宋_GB2312" w:cs="Times New Roman"/>
          <w:b w:val="0"/>
          <w:i w:val="0"/>
          <w:caps w:val="0"/>
          <w:spacing w:val="0"/>
          <w:w w:val="100"/>
          <w:sz w:val="32"/>
          <w:szCs w:val="32"/>
        </w:rPr>
        <w:t>9</w:t>
      </w:r>
      <w:r>
        <w:rPr>
          <w:rFonts w:ascii="Times New Roman" w:hAnsi="Times New Roman" w:eastAsia="仿宋_GB2312" w:cs="Times New Roman"/>
          <w:b w:val="0"/>
          <w:i w:val="0"/>
          <w:caps w:val="0"/>
          <w:spacing w:val="0"/>
          <w:w w:val="100"/>
          <w:sz w:val="32"/>
          <w:szCs w:val="32"/>
        </w:rPr>
        <w:t>个重要农业种质资源创新及农、牧业关键技术研究工作，引进种质资源不少于</w:t>
      </w:r>
      <w:r>
        <w:rPr>
          <w:rFonts w:hint="eastAsia" w:ascii="Times New Roman" w:hAnsi="Times New Roman" w:eastAsia="仿宋_GB2312" w:cs="Times New Roman"/>
          <w:b w:val="0"/>
          <w:i w:val="0"/>
          <w:caps w:val="0"/>
          <w:spacing w:val="0"/>
          <w:w w:val="100"/>
          <w:sz w:val="32"/>
          <w:szCs w:val="32"/>
        </w:rPr>
        <w:t>96</w:t>
      </w:r>
      <w:r>
        <w:rPr>
          <w:rFonts w:ascii="Times New Roman" w:hAnsi="Times New Roman" w:eastAsia="仿宋_GB2312" w:cs="Times New Roman"/>
          <w:b w:val="0"/>
          <w:i w:val="0"/>
          <w:caps w:val="0"/>
          <w:spacing w:val="0"/>
          <w:w w:val="100"/>
          <w:sz w:val="32"/>
          <w:szCs w:val="32"/>
        </w:rPr>
        <w:t>个。在科研平台建设方面，开展科技成果示范基地（陈家务）和科研实验基地（潘场）全年日常维护管理工作，保障本院科研、示范推广部门职能工作顺利开展。</w:t>
      </w:r>
    </w:p>
    <w:p>
      <w:pPr>
        <w:numPr>
          <w:ilvl w:val="0"/>
          <w:numId w:val="1"/>
        </w:numPr>
        <w:spacing w:line="584" w:lineRule="exact"/>
        <w:ind w:firstLine="642" w:firstLineChars="200"/>
        <w:rPr>
          <w:rFonts w:hint="eastAsia" w:ascii="楷体_GB2312" w:eastAsia="楷体_GB2312" w:cs="Times New Roman"/>
          <w:b/>
          <w:sz w:val="32"/>
          <w:szCs w:val="32"/>
        </w:rPr>
      </w:pPr>
      <w:r>
        <w:rPr>
          <w:rFonts w:hint="eastAsia" w:ascii="楷体_GB2312" w:eastAsia="楷体_GB2312" w:cs="Times New Roman"/>
          <w:b/>
          <w:sz w:val="32"/>
          <w:szCs w:val="32"/>
        </w:rPr>
        <w:t>分项绩效目标</w:t>
      </w:r>
    </w:p>
    <w:p>
      <w:pPr>
        <w:snapToGrid/>
        <w:spacing w:before="0" w:beforeAutospacing="0" w:after="0" w:afterAutospacing="0" w:line="550" w:lineRule="exact"/>
        <w:ind w:firstLine="420" w:firstLineChars="200"/>
        <w:jc w:val="both"/>
        <w:textAlignment w:val="baseline"/>
        <w:rPr>
          <w:rFonts w:ascii="Times New Roman" w:hAnsi="Times New Roman" w:eastAsia="仿宋_GB2312" w:cs="Times New Roman"/>
          <w:b/>
          <w:bCs/>
          <w:i w:val="0"/>
          <w:caps w:val="0"/>
          <w:spacing w:val="0"/>
          <w:w w:val="100"/>
          <w:sz w:val="30"/>
          <w:szCs w:val="30"/>
        </w:rPr>
      </w:pPr>
      <w:r>
        <w:rPr>
          <w:rFonts w:hint="eastAsia"/>
          <w:lang w:val="en-US" w:eastAsia="zh-CN"/>
        </w:rPr>
        <w:t xml:space="preserve">  </w:t>
      </w:r>
      <w:r>
        <w:rPr>
          <w:rFonts w:ascii="Times New Roman" w:hAnsi="Times New Roman" w:eastAsia="仿宋_GB2312" w:cs="Times New Roman"/>
          <w:b w:val="0"/>
          <w:i w:val="0"/>
          <w:caps w:val="0"/>
          <w:spacing w:val="0"/>
          <w:w w:val="100"/>
          <w:kern w:val="2"/>
          <w:sz w:val="32"/>
          <w:szCs w:val="32"/>
          <w:lang w:val="en-US" w:eastAsia="zh-CN" w:bidi="ar-SA"/>
        </w:rPr>
        <w:t>（</w:t>
      </w:r>
      <w:r>
        <w:rPr>
          <w:rFonts w:hint="eastAsia" w:ascii="Times New Roman" w:hAnsi="Times New Roman" w:eastAsia="仿宋_GB2312" w:cs="Times New Roman"/>
          <w:b w:val="0"/>
          <w:i w:val="0"/>
          <w:caps w:val="0"/>
          <w:spacing w:val="0"/>
          <w:w w:val="100"/>
          <w:kern w:val="2"/>
          <w:sz w:val="32"/>
          <w:szCs w:val="32"/>
          <w:lang w:val="en-US" w:eastAsia="zh-CN" w:bidi="ar-SA"/>
        </w:rPr>
        <w:t>一</w:t>
      </w:r>
      <w:r>
        <w:rPr>
          <w:rFonts w:ascii="Times New Roman" w:hAnsi="Times New Roman" w:eastAsia="仿宋_GB2312" w:cs="Times New Roman"/>
          <w:b w:val="0"/>
          <w:i w:val="0"/>
          <w:caps w:val="0"/>
          <w:spacing w:val="0"/>
          <w:w w:val="100"/>
          <w:kern w:val="2"/>
          <w:sz w:val="32"/>
          <w:szCs w:val="32"/>
          <w:lang w:val="en-US" w:eastAsia="zh-CN" w:bidi="ar-SA"/>
        </w:rPr>
        <w:t>）着力抓好引进示范推广</w:t>
      </w:r>
    </w:p>
    <w:p>
      <w:pPr>
        <w:pStyle w:val="3"/>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绩效目标：通过在开展廊坊市农林科学院优质新品种、新技术示范项目，结合本地区农、牧业种（养）植（殖）现状，将院自主选育优良品种及配套栽培技术和引进优良品种及配套栽培技术进行示范，将示范推广观摩和技术指导服务有机结合起来，提高广大农户的科技获得感。</w:t>
      </w:r>
    </w:p>
    <w:p>
      <w:pPr>
        <w:pStyle w:val="3"/>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绩效指标：开展</w:t>
      </w:r>
      <w:r>
        <w:rPr>
          <w:rFonts w:hint="eastAsia" w:ascii="Times New Roman" w:hAnsi="Times New Roman" w:eastAsia="仿宋_GB2312" w:cs="Times New Roman"/>
          <w:b w:val="0"/>
          <w:i w:val="0"/>
          <w:caps w:val="0"/>
          <w:spacing w:val="0"/>
          <w:w w:val="100"/>
          <w:sz w:val="32"/>
          <w:szCs w:val="32"/>
        </w:rPr>
        <w:t>2</w:t>
      </w:r>
      <w:r>
        <w:rPr>
          <w:rFonts w:ascii="Times New Roman" w:hAnsi="Times New Roman" w:eastAsia="仿宋_GB2312" w:cs="Times New Roman"/>
          <w:b w:val="0"/>
          <w:i w:val="0"/>
          <w:caps w:val="0"/>
          <w:spacing w:val="0"/>
          <w:w w:val="100"/>
          <w:sz w:val="32"/>
          <w:szCs w:val="32"/>
        </w:rPr>
        <w:t>个示范子项目，示范新技术、新品种</w:t>
      </w:r>
      <w:r>
        <w:rPr>
          <w:rFonts w:hint="eastAsia" w:ascii="Times New Roman" w:hAnsi="Times New Roman" w:eastAsia="仿宋_GB2312" w:cs="Times New Roman"/>
          <w:b w:val="0"/>
          <w:i w:val="0"/>
          <w:caps w:val="0"/>
          <w:spacing w:val="0"/>
          <w:w w:val="100"/>
          <w:sz w:val="32"/>
          <w:szCs w:val="32"/>
        </w:rPr>
        <w:t>2</w:t>
      </w:r>
      <w:r>
        <w:rPr>
          <w:rFonts w:ascii="Times New Roman" w:hAnsi="Times New Roman" w:eastAsia="仿宋_GB2312" w:cs="Times New Roman"/>
          <w:b w:val="0"/>
          <w:i w:val="0"/>
          <w:caps w:val="0"/>
          <w:spacing w:val="0"/>
          <w:w w:val="100"/>
          <w:sz w:val="32"/>
          <w:szCs w:val="32"/>
        </w:rPr>
        <w:t>个以上。</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kern w:val="2"/>
          <w:sz w:val="32"/>
          <w:szCs w:val="32"/>
          <w:lang w:val="en-US" w:eastAsia="zh-CN" w:bidi="ar-SA"/>
        </w:rPr>
      </w:pPr>
      <w:r>
        <w:rPr>
          <w:rFonts w:ascii="Times New Roman" w:hAnsi="Times New Roman" w:eastAsia="仿宋_GB2312" w:cs="Times New Roman"/>
          <w:b w:val="0"/>
          <w:i w:val="0"/>
          <w:caps w:val="0"/>
          <w:spacing w:val="0"/>
          <w:w w:val="100"/>
          <w:kern w:val="2"/>
          <w:sz w:val="32"/>
          <w:szCs w:val="32"/>
          <w:lang w:val="en-US" w:eastAsia="zh-CN" w:bidi="ar-SA"/>
        </w:rPr>
        <w:t>（</w:t>
      </w:r>
      <w:r>
        <w:rPr>
          <w:rFonts w:hint="eastAsia" w:ascii="Times New Roman" w:hAnsi="Times New Roman" w:eastAsia="仿宋_GB2312" w:cs="Times New Roman"/>
          <w:b w:val="0"/>
          <w:i w:val="0"/>
          <w:caps w:val="0"/>
          <w:spacing w:val="0"/>
          <w:w w:val="100"/>
          <w:kern w:val="2"/>
          <w:sz w:val="32"/>
          <w:szCs w:val="32"/>
          <w:lang w:val="en-US" w:eastAsia="zh-CN" w:bidi="ar-SA"/>
        </w:rPr>
        <w:t>二</w:t>
      </w:r>
      <w:r>
        <w:rPr>
          <w:rFonts w:ascii="Times New Roman" w:hAnsi="Times New Roman" w:eastAsia="仿宋_GB2312" w:cs="Times New Roman"/>
          <w:b w:val="0"/>
          <w:i w:val="0"/>
          <w:caps w:val="0"/>
          <w:spacing w:val="0"/>
          <w:w w:val="100"/>
          <w:kern w:val="2"/>
          <w:sz w:val="32"/>
          <w:szCs w:val="32"/>
          <w:lang w:val="en-US" w:eastAsia="zh-CN" w:bidi="ar-SA"/>
        </w:rPr>
        <w:t>）着力抓好科研创新</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绩效目标：通过开展廊坊市重要农业种质资源创新及农、牧业关键技术研究项目，丰富我市农业种质资源数量、解决一部分农业生产关键技术难题，为我市农业科学高速发展提供有力的技术支撑。</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绩效指标：开展涉及农、牧业关键技术研究子项目</w:t>
      </w:r>
      <w:r>
        <w:rPr>
          <w:rFonts w:hint="eastAsia" w:ascii="Times New Roman" w:hAnsi="Times New Roman" w:eastAsia="仿宋_GB2312" w:cs="Times New Roman"/>
          <w:b w:val="0"/>
          <w:i w:val="0"/>
          <w:caps w:val="0"/>
          <w:spacing w:val="0"/>
          <w:w w:val="100"/>
          <w:sz w:val="32"/>
          <w:szCs w:val="32"/>
        </w:rPr>
        <w:t>9</w:t>
      </w:r>
      <w:r>
        <w:rPr>
          <w:rFonts w:ascii="Times New Roman" w:hAnsi="Times New Roman" w:eastAsia="仿宋_GB2312" w:cs="Times New Roman"/>
          <w:b w:val="0"/>
          <w:i w:val="0"/>
          <w:caps w:val="0"/>
          <w:spacing w:val="0"/>
          <w:w w:val="100"/>
          <w:sz w:val="32"/>
          <w:szCs w:val="32"/>
        </w:rPr>
        <w:t>个，引进种质资源不少于96个，筛选出涉及瓜果、蔬菜、花卉等优良品种不少于17个。编撰技术规程、发表论文不少于5篇，经济绿化林面积5亩，取得一定的阶段性成果，实现亩收益增长率15%以上，促进我</w:t>
      </w:r>
      <w:r>
        <w:rPr>
          <w:rFonts w:hint="eastAsia" w:ascii="Times New Roman" w:hAnsi="Times New Roman" w:eastAsia="仿宋_GB2312" w:cs="Times New Roman"/>
          <w:b w:val="0"/>
          <w:i w:val="0"/>
          <w:caps w:val="0"/>
          <w:spacing w:val="0"/>
          <w:w w:val="100"/>
          <w:sz w:val="32"/>
          <w:szCs w:val="32"/>
        </w:rPr>
        <w:t>市</w:t>
      </w:r>
      <w:r>
        <w:rPr>
          <w:rFonts w:ascii="Times New Roman" w:hAnsi="Times New Roman" w:eastAsia="仿宋_GB2312" w:cs="Times New Roman"/>
          <w:b w:val="0"/>
          <w:i w:val="0"/>
          <w:caps w:val="0"/>
          <w:spacing w:val="0"/>
          <w:w w:val="100"/>
          <w:sz w:val="32"/>
          <w:szCs w:val="32"/>
        </w:rPr>
        <w:t>农业多元化发展。</w:t>
      </w:r>
    </w:p>
    <w:p>
      <w:pPr>
        <w:snapToGrid/>
        <w:spacing w:before="0" w:beforeAutospacing="0" w:after="0" w:afterAutospacing="0" w:line="550" w:lineRule="exact"/>
        <w:ind w:firstLine="640" w:firstLineChars="200"/>
        <w:jc w:val="both"/>
        <w:textAlignment w:val="baseline"/>
        <w:rPr>
          <w:rFonts w:ascii="Times New Roman" w:hAnsi="Times New Roman" w:eastAsia="楷体_GB2312" w:cs="Times New Roman"/>
          <w:b w:val="0"/>
          <w:bCs w:val="0"/>
          <w:i w:val="0"/>
          <w:caps w:val="0"/>
          <w:spacing w:val="0"/>
          <w:w w:val="100"/>
          <w:sz w:val="32"/>
          <w:szCs w:val="32"/>
        </w:rPr>
      </w:pPr>
      <w:r>
        <w:rPr>
          <w:rFonts w:ascii="Times New Roman" w:hAnsi="Times New Roman" w:eastAsia="仿宋_GB2312" w:cs="Times New Roman"/>
          <w:b w:val="0"/>
          <w:i w:val="0"/>
          <w:caps w:val="0"/>
          <w:spacing w:val="0"/>
          <w:w w:val="100"/>
          <w:kern w:val="2"/>
          <w:sz w:val="32"/>
          <w:szCs w:val="32"/>
          <w:lang w:val="en-US" w:eastAsia="zh-CN" w:bidi="ar-SA"/>
        </w:rPr>
        <w:t>（</w:t>
      </w:r>
      <w:r>
        <w:rPr>
          <w:rFonts w:hint="eastAsia" w:ascii="Times New Roman" w:hAnsi="Times New Roman" w:eastAsia="仿宋_GB2312" w:cs="Times New Roman"/>
          <w:b w:val="0"/>
          <w:i w:val="0"/>
          <w:caps w:val="0"/>
          <w:spacing w:val="0"/>
          <w:w w:val="100"/>
          <w:kern w:val="2"/>
          <w:sz w:val="32"/>
          <w:szCs w:val="32"/>
          <w:lang w:val="en-US" w:eastAsia="zh-CN" w:bidi="ar-SA"/>
        </w:rPr>
        <w:t>三</w:t>
      </w:r>
      <w:r>
        <w:rPr>
          <w:rFonts w:ascii="Times New Roman" w:hAnsi="Times New Roman" w:eastAsia="仿宋_GB2312" w:cs="Times New Roman"/>
          <w:b w:val="0"/>
          <w:i w:val="0"/>
          <w:caps w:val="0"/>
          <w:spacing w:val="0"/>
          <w:w w:val="100"/>
          <w:kern w:val="2"/>
          <w:sz w:val="32"/>
          <w:szCs w:val="32"/>
          <w:lang w:val="en-US" w:eastAsia="zh-CN" w:bidi="ar-SA"/>
        </w:rPr>
        <w:t>）着力抓好科研平台建设</w:t>
      </w:r>
    </w:p>
    <w:p>
      <w:pPr>
        <w:pStyle w:val="3"/>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绩效目标：通过项目的实施，完成科研实验基地（潘场）和科技成果示范基地（陈家务）2个基地公共区域全年日常维护工作。提升农业科研工作效率、农业研究项目执行人满意度。</w:t>
      </w:r>
    </w:p>
    <w:p>
      <w:pPr>
        <w:pStyle w:val="3"/>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绩效指标：开展</w:t>
      </w:r>
      <w:r>
        <w:rPr>
          <w:rFonts w:hint="eastAsia" w:ascii="Times New Roman" w:hAnsi="Times New Roman" w:eastAsia="仿宋_GB2312" w:cs="Times New Roman"/>
          <w:b w:val="0"/>
          <w:i w:val="0"/>
          <w:caps w:val="0"/>
          <w:spacing w:val="0"/>
          <w:w w:val="100"/>
          <w:sz w:val="32"/>
          <w:szCs w:val="32"/>
        </w:rPr>
        <w:t>面积</w:t>
      </w:r>
      <w:r>
        <w:rPr>
          <w:rFonts w:ascii="Times New Roman" w:hAnsi="Times New Roman" w:eastAsia="仿宋_GB2312" w:cs="Times New Roman"/>
          <w:b w:val="0"/>
          <w:i w:val="0"/>
          <w:caps w:val="0"/>
          <w:spacing w:val="0"/>
          <w:w w:val="100"/>
          <w:sz w:val="32"/>
          <w:szCs w:val="32"/>
          <w:highlight w:val="none"/>
        </w:rPr>
        <w:t>289亩</w:t>
      </w:r>
      <w:r>
        <w:rPr>
          <w:rFonts w:ascii="Times New Roman" w:hAnsi="Times New Roman" w:eastAsia="仿宋_GB2312" w:cs="Times New Roman"/>
          <w:b w:val="0"/>
          <w:i w:val="0"/>
          <w:caps w:val="0"/>
          <w:spacing w:val="0"/>
          <w:w w:val="100"/>
          <w:sz w:val="32"/>
          <w:szCs w:val="32"/>
        </w:rPr>
        <w:t>的两个基地日常维护工作，完成机井、管道、棚室等设备设施改造、维修、维护。完成水渠、道路、围墙修复工作。工程质量合格率100%，保证基地正常运转，基地使用人员满意度9</w:t>
      </w:r>
      <w:r>
        <w:rPr>
          <w:rFonts w:hint="eastAsia" w:ascii="Times New Roman" w:hAnsi="Times New Roman" w:eastAsia="仿宋_GB2312" w:cs="Times New Roman"/>
          <w:b w:val="0"/>
          <w:i w:val="0"/>
          <w:caps w:val="0"/>
          <w:spacing w:val="0"/>
          <w:w w:val="100"/>
          <w:sz w:val="32"/>
          <w:szCs w:val="32"/>
        </w:rPr>
        <w:t>5</w:t>
      </w:r>
      <w:r>
        <w:rPr>
          <w:rFonts w:ascii="Times New Roman" w:hAnsi="Times New Roman" w:eastAsia="仿宋_GB2312" w:cs="Times New Roman"/>
          <w:b w:val="0"/>
          <w:i w:val="0"/>
          <w:caps w:val="0"/>
          <w:spacing w:val="0"/>
          <w:w w:val="100"/>
          <w:sz w:val="32"/>
          <w:szCs w:val="32"/>
        </w:rPr>
        <w:t>%以上。</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kern w:val="2"/>
          <w:sz w:val="32"/>
          <w:szCs w:val="32"/>
          <w:lang w:val="en-US" w:eastAsia="zh-CN" w:bidi="ar-SA"/>
        </w:rPr>
      </w:pPr>
      <w:r>
        <w:rPr>
          <w:rFonts w:ascii="Times New Roman" w:hAnsi="Times New Roman" w:eastAsia="仿宋_GB2312" w:cs="Times New Roman"/>
          <w:b w:val="0"/>
          <w:i w:val="0"/>
          <w:caps w:val="0"/>
          <w:spacing w:val="0"/>
          <w:w w:val="100"/>
          <w:kern w:val="2"/>
          <w:sz w:val="32"/>
          <w:szCs w:val="32"/>
          <w:lang w:val="en-US" w:eastAsia="zh-CN" w:bidi="ar-SA"/>
        </w:rPr>
        <w:t>（</w:t>
      </w:r>
      <w:r>
        <w:rPr>
          <w:rFonts w:hint="eastAsia" w:ascii="Times New Roman" w:hAnsi="Times New Roman" w:eastAsia="仿宋_GB2312" w:cs="Times New Roman"/>
          <w:b w:val="0"/>
          <w:i w:val="0"/>
          <w:caps w:val="0"/>
          <w:spacing w:val="0"/>
          <w:w w:val="100"/>
          <w:kern w:val="2"/>
          <w:sz w:val="32"/>
          <w:szCs w:val="32"/>
          <w:lang w:val="en-US" w:eastAsia="zh-CN" w:bidi="ar-SA"/>
        </w:rPr>
        <w:t>四</w:t>
      </w:r>
      <w:r>
        <w:rPr>
          <w:rFonts w:ascii="Times New Roman" w:hAnsi="Times New Roman" w:eastAsia="仿宋_GB2312" w:cs="Times New Roman"/>
          <w:b w:val="0"/>
          <w:i w:val="0"/>
          <w:caps w:val="0"/>
          <w:spacing w:val="0"/>
          <w:w w:val="100"/>
          <w:kern w:val="2"/>
          <w:sz w:val="32"/>
          <w:szCs w:val="32"/>
          <w:lang w:val="en-US" w:eastAsia="zh-CN" w:bidi="ar-SA"/>
        </w:rPr>
        <w:t>）保证机构正常运转</w:t>
      </w:r>
    </w:p>
    <w:p>
      <w:pPr>
        <w:pStyle w:val="3"/>
        <w:snapToGrid/>
        <w:spacing w:before="0" w:beforeAutospacing="0" w:after="0" w:afterAutospacing="0" w:line="550" w:lineRule="exact"/>
        <w:ind w:firstLine="640" w:firstLineChars="200"/>
        <w:jc w:val="both"/>
        <w:textAlignment w:val="baseline"/>
        <w:rPr>
          <w:rFonts w:hint="default" w:eastAsia="宋体"/>
          <w:lang w:val="en-US" w:eastAsia="zh-CN"/>
        </w:rPr>
      </w:pPr>
      <w:r>
        <w:rPr>
          <w:rFonts w:ascii="Times New Roman" w:hAnsi="Times New Roman" w:eastAsia="仿宋_GB2312" w:cs="Times New Roman"/>
          <w:b w:val="0"/>
          <w:i w:val="0"/>
          <w:caps w:val="0"/>
          <w:spacing w:val="0"/>
          <w:w w:val="100"/>
          <w:sz w:val="32"/>
          <w:szCs w:val="32"/>
        </w:rPr>
        <w:t>以全院中心工作为目标，通过财政基本支出预算，不断优化支出结构，追求投入成本与产出效益的性价比，在充分保证本部门正常运转前提下，各项支出安排保证科学、合理、必需的原则，着力提高资金使用的经济效益和社会效益。</w:t>
      </w:r>
    </w:p>
    <w:p>
      <w:pPr>
        <w:spacing w:line="584" w:lineRule="exact"/>
        <w:ind w:firstLine="642" w:firstLineChars="200"/>
        <w:rPr>
          <w:rFonts w:ascii="楷体_GB2312" w:eastAsia="楷体_GB2312" w:cs="Times New Roman"/>
          <w:b/>
          <w:sz w:val="32"/>
          <w:szCs w:val="32"/>
        </w:rPr>
      </w:pPr>
      <w:r>
        <w:rPr>
          <w:rFonts w:hint="eastAsia" w:ascii="楷体_GB2312" w:eastAsia="楷体_GB2312" w:cs="Times New Roman"/>
          <w:b/>
          <w:sz w:val="32"/>
          <w:szCs w:val="32"/>
        </w:rPr>
        <w:t>（三）工作保障措施</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（一）制定激励措施</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要求正高级涉农专业技术人员，</w:t>
      </w:r>
      <w:r>
        <w:rPr>
          <w:rFonts w:hint="eastAsia" w:ascii="Times New Roman" w:hAnsi="Times New Roman" w:eastAsia="仿宋_GB2312" w:cs="Times New Roman"/>
          <w:b w:val="0"/>
          <w:i w:val="0"/>
          <w:caps w:val="0"/>
          <w:spacing w:val="0"/>
          <w:w w:val="100"/>
          <w:sz w:val="32"/>
          <w:szCs w:val="32"/>
        </w:rPr>
        <w:t>作</w:t>
      </w:r>
      <w:r>
        <w:rPr>
          <w:rFonts w:ascii="Times New Roman" w:hAnsi="Times New Roman" w:eastAsia="仿宋_GB2312" w:cs="Times New Roman"/>
          <w:b w:val="0"/>
          <w:i w:val="0"/>
          <w:caps w:val="0"/>
          <w:spacing w:val="0"/>
          <w:w w:val="100"/>
          <w:sz w:val="32"/>
          <w:szCs w:val="32"/>
        </w:rPr>
        <w:t>为学科带头人，组建一个创新团队，制定详尽的工作计划和实施方案，实现“每季有进展、一年一台阶、五年出成果”的目标，最终成果要至少达到省级科技进步三等奖以上的水平，凡是课题获得省级科技进步三等奖的团队负责人，在原有奖励政策基础上，职称晋级等方面享有绝对优先权。鼓励中级或者副高级科技人员积极尝试，创建自己的团队，对于获得省级科技进步三等奖以上成果的，团队负责人在原有奖励政策基础上，职称晋升等方面同样享有绝对优先权。</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hint="eastAsia" w:ascii="Times New Roman" w:hAnsi="Times New Roman" w:eastAsia="仿宋_GB2312" w:cs="Times New Roman"/>
          <w:b w:val="0"/>
          <w:i w:val="0"/>
          <w:caps w:val="0"/>
          <w:spacing w:val="0"/>
          <w:w w:val="100"/>
          <w:sz w:val="32"/>
          <w:szCs w:val="32"/>
          <w:lang w:eastAsia="zh-CN"/>
        </w:rPr>
        <w:t>（二）</w:t>
      </w:r>
      <w:r>
        <w:rPr>
          <w:rFonts w:ascii="Times New Roman" w:hAnsi="Times New Roman" w:eastAsia="仿宋_GB2312" w:cs="Times New Roman"/>
          <w:b w:val="0"/>
          <w:i w:val="0"/>
          <w:caps w:val="0"/>
          <w:spacing w:val="0"/>
          <w:w w:val="100"/>
          <w:sz w:val="32"/>
          <w:szCs w:val="32"/>
        </w:rPr>
        <w:t>创新工作方法</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开展农业科技精准服务，打造精品及特色两大示范基地；精准对接重点农业园区、农业合作社、农业龙头企业和种植、养殖大户，培养科技兴农致富精英；通过微信、电话、视频等形式接受有效咨询，通过“面对面”方式积极深入基层一线、田间地头开展技术服务，深入落实服务“三农”、服务乡村振兴、服务全市大局的职责担当，切实有效提高广大农民的科技素质和农业生产的科技含量，促进农业增效、农民增收，进一步强化科技在农业农村经济发展中的支撑和引领作用。</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（三）加快人才队伍建设</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注重人才培养。紧紧抓住培养、引进、使用三大环节。着力加大人才引进力度。引进以硕士研究生为主体的专业人才，建设一流科技人才队伍，进一步增强科研研发实力。</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（四）完善制度建设</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制定完善一批既管当前又管长远的规章制度，高度重视预算绩效管理，严格执行《廊坊市农林科学院预算绩效管理办法》，强化资金管理，严格按照《廊坊市农林科学院财务管理办法》等制度实施，为全年预算绩效目标的实现奠定制度基础。</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（五）加强支出管理</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通过预算编制严格把关预算资金的科学性、合理性，敦促涉及政府采购事项各项目负责人，加快履行政府采购相关手续，尽快启动项目，及时完成资金支付，确保 6 月底、9 月底资金支付完成率达到 60%和90%。</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（六）加强绩效运行监控</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按要求开展绩效运行监控，发现问题及时采取有效措施纠偏纠错，确保绩效目标如期保质保量实现。</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（七）做好绩效自评</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严格按财政部门要求开展上年度部门预算绩效自评和重点评价工作，对评价中发现的问题及时反馈给项目负责人，及时整改，调整优化支出结构，提高财政资金使用效益。</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（八）规范财务资产管理</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及时根据新的文件精神和要求，修订完善财务管理办法，严格审批程序，严格按照国有资产管理办法对固定资产进行登记、使用和报废处置，做到支出合理、物尽其用。</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（九）加强内部监督</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认真履行《廊坊市农</w:t>
      </w:r>
      <w:r>
        <w:rPr>
          <w:rFonts w:hint="eastAsia" w:ascii="Times New Roman" w:hAnsi="Times New Roman" w:eastAsia="仿宋_GB2312" w:cs="Times New Roman"/>
          <w:b w:val="0"/>
          <w:i w:val="0"/>
          <w:caps w:val="0"/>
          <w:spacing w:val="0"/>
          <w:w w:val="100"/>
          <w:sz w:val="32"/>
          <w:szCs w:val="32"/>
        </w:rPr>
        <w:t>林</w:t>
      </w:r>
      <w:r>
        <w:rPr>
          <w:rFonts w:ascii="Times New Roman" w:hAnsi="Times New Roman" w:eastAsia="仿宋_GB2312" w:cs="Times New Roman"/>
          <w:b w:val="0"/>
          <w:i w:val="0"/>
          <w:caps w:val="0"/>
          <w:spacing w:val="0"/>
          <w:w w:val="100"/>
          <w:sz w:val="32"/>
          <w:szCs w:val="32"/>
        </w:rPr>
        <w:t>科学院预算绩效管理办法》</w:t>
      </w:r>
      <w:r>
        <w:rPr>
          <w:rFonts w:hint="eastAsia" w:ascii="Times New Roman" w:hAnsi="Times New Roman" w:eastAsia="仿宋_GB2312" w:cs="Times New Roman"/>
          <w:b w:val="0"/>
          <w:i w:val="0"/>
          <w:caps w:val="0"/>
          <w:spacing w:val="0"/>
          <w:w w:val="100"/>
          <w:sz w:val="32"/>
          <w:szCs w:val="32"/>
        </w:rPr>
        <w:t>《廊坊市农林科学院内部审计制度》</w:t>
      </w:r>
      <w:r>
        <w:rPr>
          <w:rFonts w:ascii="Times New Roman" w:hAnsi="Times New Roman" w:eastAsia="仿宋_GB2312" w:cs="Times New Roman"/>
          <w:b w:val="0"/>
          <w:i w:val="0"/>
          <w:caps w:val="0"/>
          <w:spacing w:val="0"/>
          <w:w w:val="100"/>
          <w:sz w:val="32"/>
          <w:szCs w:val="32"/>
        </w:rPr>
        <w:t>，对绩效运行情况、重大支出决策、对外投资、资产处置及其他重要经济业务事项的决策和执行进行督导，对会计资料定期进行自查，每年度终了聘请第三方会计师事务所对财务账目进行审计工作并配合做好审计、财政监督等外部监督工作，确保财政资金安全有效。</w:t>
      </w:r>
    </w:p>
    <w:p>
      <w:pPr>
        <w:numPr>
          <w:ilvl w:val="0"/>
          <w:numId w:val="0"/>
        </w:numPr>
        <w:overflowPunct w:val="0"/>
        <w:adjustRightInd w:val="0"/>
        <w:snapToGrid w:val="0"/>
        <w:spacing w:after="156" w:afterLines="50" w:line="580" w:lineRule="exact"/>
        <w:ind w:firstLine="640" w:firstLineChars="200"/>
        <w:jc w:val="left"/>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（十）加强宣传培训调研</w:t>
      </w:r>
    </w:p>
    <w:p>
      <w:pPr>
        <w:numPr>
          <w:ilvl w:val="0"/>
          <w:numId w:val="0"/>
        </w:numPr>
        <w:overflowPunct w:val="0"/>
        <w:adjustRightInd w:val="0"/>
        <w:snapToGrid w:val="0"/>
        <w:spacing w:after="156" w:afterLines="50" w:line="580" w:lineRule="exact"/>
        <w:ind w:firstLine="640" w:firstLineChars="200"/>
        <w:jc w:val="left"/>
        <w:rPr>
          <w:rFonts w:hint="eastAsia" w:ascii="楷体_GB2312" w:eastAsia="楷体_GB2312" w:cs="Times New Roman"/>
          <w:b/>
          <w:sz w:val="32"/>
          <w:szCs w:val="32"/>
        </w:rPr>
      </w:pPr>
      <w:r>
        <w:rPr>
          <w:rFonts w:ascii="Times New Roman" w:hAnsi="Times New Roman" w:eastAsia="仿宋_GB2312" w:cs="Times New Roman"/>
          <w:b w:val="0"/>
          <w:i w:val="0"/>
          <w:caps w:val="0"/>
          <w:spacing w:val="0"/>
          <w:w w:val="100"/>
          <w:sz w:val="32"/>
          <w:szCs w:val="32"/>
        </w:rPr>
        <w:t>加强人员培训，提高本部门职工业务素质，加强调研，提出优化财政资金配置，提高资金使用效益的意见建议，加大宣传力度，强化预算绩效管理意识，促进预算绩效管理水平进一步提升。</w:t>
      </w:r>
    </w:p>
    <w:p>
      <w:pPr>
        <w:numPr>
          <w:ilvl w:val="0"/>
          <w:numId w:val="0"/>
        </w:numPr>
        <w:overflowPunct w:val="0"/>
        <w:adjustRightInd w:val="0"/>
        <w:snapToGrid w:val="0"/>
        <w:spacing w:after="156" w:afterLines="50" w:line="580" w:lineRule="exact"/>
        <w:ind w:firstLine="642" w:firstLineChars="200"/>
        <w:jc w:val="left"/>
        <w:rPr>
          <w:rFonts w:hint="default" w:ascii="楷体_GB2312" w:eastAsia="楷体_GB2312" w:cs="Times New Roman"/>
          <w:b/>
          <w:sz w:val="32"/>
          <w:szCs w:val="32"/>
          <w:lang w:val="en-US" w:eastAsia="zh-CN"/>
        </w:rPr>
      </w:pPr>
      <w:r>
        <w:rPr>
          <w:rFonts w:hint="eastAsia" w:ascii="楷体_GB2312" w:eastAsia="楷体_GB2312" w:cs="Times New Roman"/>
          <w:b/>
          <w:sz w:val="32"/>
          <w:szCs w:val="32"/>
          <w:lang w:eastAsia="zh-CN"/>
        </w:rPr>
        <w:t>（四）</w:t>
      </w:r>
      <w:r>
        <w:rPr>
          <w:rFonts w:hint="eastAsia" w:ascii="楷体_GB2312" w:eastAsia="楷体_GB2312" w:cs="Times New Roman"/>
          <w:b/>
          <w:sz w:val="32"/>
          <w:szCs w:val="32"/>
        </w:rPr>
        <w:t>部门整体支出绩效指标</w:t>
      </w:r>
    </w:p>
    <w:tbl>
      <w:tblPr>
        <w:tblStyle w:val="11"/>
        <w:tblpPr w:leftFromText="180" w:rightFromText="180" w:vertAnchor="text" w:horzAnchor="page" w:tblpX="2272" w:tblpY="1016"/>
        <w:tblOverlap w:val="never"/>
        <w:tblW w:w="9720" w:type="dxa"/>
        <w:tblInd w:w="0" w:type="dxa"/>
        <w:tblLayout w:type="fixed"/>
        <w:tblCellMar>
          <w:top w:w="0" w:type="dxa"/>
          <w:left w:w="108" w:type="dxa"/>
          <w:bottom w:w="0" w:type="dxa"/>
          <w:right w:w="108" w:type="dxa"/>
        </w:tblCellMar>
      </w:tblPr>
      <w:tblGrid>
        <w:gridCol w:w="1080"/>
        <w:gridCol w:w="1080"/>
        <w:gridCol w:w="1080"/>
        <w:gridCol w:w="1720"/>
        <w:gridCol w:w="1680"/>
        <w:gridCol w:w="720"/>
        <w:gridCol w:w="630"/>
        <w:gridCol w:w="650"/>
        <w:gridCol w:w="1080"/>
      </w:tblGrid>
      <w:tr>
        <w:tblPrEx>
          <w:tblCellMar>
            <w:top w:w="0" w:type="dxa"/>
            <w:left w:w="108" w:type="dxa"/>
            <w:bottom w:w="0" w:type="dxa"/>
            <w:right w:w="108" w:type="dxa"/>
          </w:tblCellMar>
        </w:tblPrEx>
        <w:trPr>
          <w:trHeight w:val="48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bCs/>
                <w:i w:val="0"/>
                <w:caps w:val="0"/>
                <w:color w:val="000000"/>
                <w:spacing w:val="0"/>
                <w:w w:val="100"/>
                <w:kern w:val="0"/>
                <w:sz w:val="20"/>
                <w:szCs w:val="20"/>
                <w:lang w:bidi="ar"/>
              </w:rPr>
            </w:pPr>
            <w:r>
              <w:rPr>
                <w:rFonts w:ascii="Times New Roman" w:hAnsi="Times New Roman" w:eastAsia="仿宋_GB2312" w:cs="Times New Roman"/>
                <w:b/>
                <w:bCs/>
                <w:i w:val="0"/>
                <w:caps w:val="0"/>
                <w:color w:val="000000"/>
                <w:spacing w:val="0"/>
                <w:w w:val="100"/>
                <w:kern w:val="0"/>
                <w:sz w:val="20"/>
                <w:szCs w:val="20"/>
                <w:lang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bCs/>
                <w:i w:val="0"/>
                <w:caps w:val="0"/>
                <w:color w:val="000000"/>
                <w:spacing w:val="0"/>
                <w:w w:val="100"/>
                <w:kern w:val="0"/>
                <w:sz w:val="20"/>
                <w:szCs w:val="20"/>
                <w:lang w:bidi="ar"/>
              </w:rPr>
            </w:pPr>
            <w:r>
              <w:rPr>
                <w:rFonts w:ascii="Times New Roman" w:hAnsi="Times New Roman" w:eastAsia="仿宋_GB2312" w:cs="Times New Roman"/>
                <w:b/>
                <w:bCs/>
                <w:i w:val="0"/>
                <w:caps w:val="0"/>
                <w:color w:val="000000"/>
                <w:spacing w:val="0"/>
                <w:w w:val="100"/>
                <w:kern w:val="0"/>
                <w:sz w:val="20"/>
                <w:szCs w:val="20"/>
                <w:lang w:bidi="ar"/>
              </w:rPr>
              <w:t>二级指标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bCs/>
                <w:i w:val="0"/>
                <w:caps w:val="0"/>
                <w:color w:val="000000"/>
                <w:spacing w:val="0"/>
                <w:w w:val="100"/>
                <w:kern w:val="0"/>
                <w:sz w:val="20"/>
                <w:szCs w:val="20"/>
                <w:lang w:bidi="ar"/>
              </w:rPr>
            </w:pPr>
            <w:r>
              <w:rPr>
                <w:rFonts w:ascii="Times New Roman" w:hAnsi="Times New Roman" w:eastAsia="仿宋_GB2312" w:cs="Times New Roman"/>
                <w:b/>
                <w:bCs/>
                <w:i w:val="0"/>
                <w:caps w:val="0"/>
                <w:color w:val="000000"/>
                <w:spacing w:val="0"/>
                <w:w w:val="100"/>
                <w:kern w:val="0"/>
                <w:sz w:val="20"/>
                <w:szCs w:val="20"/>
                <w:lang w:bidi="ar"/>
              </w:rPr>
              <w:t>三级指标</w:t>
            </w:r>
          </w:p>
        </w:tc>
        <w:tc>
          <w:tcPr>
            <w:tcW w:w="1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bCs/>
                <w:i w:val="0"/>
                <w:caps w:val="0"/>
                <w:color w:val="000000"/>
                <w:spacing w:val="0"/>
                <w:w w:val="100"/>
                <w:kern w:val="0"/>
                <w:sz w:val="20"/>
                <w:szCs w:val="20"/>
                <w:lang w:bidi="ar"/>
              </w:rPr>
            </w:pPr>
            <w:r>
              <w:rPr>
                <w:rFonts w:ascii="Times New Roman" w:hAnsi="Times New Roman" w:eastAsia="仿宋_GB2312" w:cs="Times New Roman"/>
                <w:b/>
                <w:bCs/>
                <w:i w:val="0"/>
                <w:caps w:val="0"/>
                <w:color w:val="000000"/>
                <w:spacing w:val="0"/>
                <w:w w:val="100"/>
                <w:kern w:val="0"/>
                <w:sz w:val="20"/>
                <w:szCs w:val="20"/>
                <w:lang w:bidi="ar"/>
              </w:rPr>
              <w:t>评（扣）分标准</w:t>
            </w:r>
          </w:p>
        </w:tc>
        <w:tc>
          <w:tcPr>
            <w:tcW w:w="16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bCs/>
                <w:i w:val="0"/>
                <w:caps w:val="0"/>
                <w:color w:val="000000"/>
                <w:spacing w:val="0"/>
                <w:w w:val="100"/>
                <w:kern w:val="0"/>
                <w:sz w:val="20"/>
                <w:szCs w:val="20"/>
                <w:lang w:bidi="ar"/>
              </w:rPr>
            </w:pPr>
            <w:r>
              <w:rPr>
                <w:rFonts w:ascii="Times New Roman" w:hAnsi="Times New Roman" w:eastAsia="仿宋_GB2312" w:cs="Times New Roman"/>
                <w:b/>
                <w:bCs/>
                <w:i w:val="0"/>
                <w:caps w:val="0"/>
                <w:color w:val="000000"/>
                <w:spacing w:val="0"/>
                <w:w w:val="100"/>
                <w:kern w:val="0"/>
                <w:sz w:val="20"/>
                <w:szCs w:val="20"/>
                <w:lang w:bidi="ar"/>
              </w:rPr>
              <w:t>绩效指标描述</w:t>
            </w:r>
          </w:p>
        </w:tc>
        <w:tc>
          <w:tcPr>
            <w:tcW w:w="20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bCs/>
                <w:i w:val="0"/>
                <w:caps w:val="0"/>
                <w:color w:val="000000"/>
                <w:spacing w:val="0"/>
                <w:w w:val="100"/>
                <w:kern w:val="0"/>
                <w:sz w:val="20"/>
                <w:szCs w:val="20"/>
                <w:lang w:bidi="ar"/>
              </w:rPr>
            </w:pPr>
            <w:r>
              <w:rPr>
                <w:rFonts w:ascii="Times New Roman" w:hAnsi="Times New Roman" w:eastAsia="仿宋_GB2312" w:cs="Times New Roman"/>
                <w:b/>
                <w:bCs/>
                <w:i w:val="0"/>
                <w:caps w:val="0"/>
                <w:color w:val="000000"/>
                <w:spacing w:val="0"/>
                <w:w w:val="100"/>
                <w:kern w:val="0"/>
                <w:sz w:val="20"/>
                <w:szCs w:val="20"/>
                <w:lang w:bidi="ar"/>
              </w:rPr>
              <w:t>指标值</w:t>
            </w:r>
          </w:p>
        </w:tc>
        <w:tc>
          <w:tcPr>
            <w:tcW w:w="1080" w:type="dxa"/>
            <w:vMerge w:val="restart"/>
            <w:tcBorders>
              <w:top w:val="single" w:color="000000" w:sz="4" w:space="0"/>
              <w:left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bCs/>
                <w:i w:val="0"/>
                <w:caps w:val="0"/>
                <w:color w:val="000000"/>
                <w:spacing w:val="0"/>
                <w:w w:val="100"/>
                <w:kern w:val="0"/>
                <w:sz w:val="20"/>
                <w:szCs w:val="20"/>
                <w:lang w:bidi="ar"/>
              </w:rPr>
            </w:pPr>
            <w:r>
              <w:rPr>
                <w:rFonts w:ascii="Times New Roman" w:hAnsi="Times New Roman" w:eastAsia="仿宋_GB2312" w:cs="Times New Roman"/>
                <w:b/>
                <w:bCs/>
                <w:i w:val="0"/>
                <w:caps w:val="0"/>
                <w:color w:val="000000"/>
                <w:spacing w:val="0"/>
                <w:w w:val="100"/>
                <w:kern w:val="0"/>
                <w:sz w:val="20"/>
                <w:szCs w:val="20"/>
                <w:lang w:bidi="ar"/>
              </w:rPr>
              <w:t>指标值确定依据</w:t>
            </w:r>
          </w:p>
        </w:tc>
      </w:tr>
      <w:tr>
        <w:tblPrEx>
          <w:tblCellMar>
            <w:top w:w="0" w:type="dxa"/>
            <w:left w:w="108" w:type="dxa"/>
            <w:bottom w:w="0" w:type="dxa"/>
            <w:right w:w="108" w:type="dxa"/>
          </w:tblCellMar>
        </w:tblPrEx>
        <w:trPr>
          <w:trHeight w:val="90" w:hRule="atLeast"/>
        </w:trPr>
        <w:tc>
          <w:tcPr>
            <w:tcW w:w="1080"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6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pPr>
              <w:widowControl/>
              <w:snapToGrid/>
              <w:spacing w:before="0" w:beforeAutospacing="0" w:after="0" w:afterAutospacing="0" w:line="240" w:lineRule="auto"/>
              <w:jc w:val="center"/>
              <w:textAlignment w:val="center"/>
              <w:rPr>
                <w:rFonts w:ascii="Times New Roman" w:hAnsi="Times New Roman" w:eastAsia="仿宋_GB2312" w:cs="Times New Roman"/>
                <w:b/>
                <w:bCs/>
                <w:i w:val="0"/>
                <w:caps w:val="0"/>
                <w:color w:val="000000"/>
                <w:spacing w:val="0"/>
                <w:w w:val="100"/>
                <w:kern w:val="0"/>
                <w:sz w:val="20"/>
                <w:szCs w:val="20"/>
                <w:lang w:bidi="ar"/>
              </w:rPr>
            </w:pPr>
            <w:r>
              <w:rPr>
                <w:rFonts w:ascii="Times New Roman" w:hAnsi="Times New Roman" w:eastAsia="仿宋_GB2312" w:cs="Times New Roman"/>
                <w:b/>
                <w:bCs/>
                <w:i w:val="0"/>
                <w:caps w:val="0"/>
                <w:color w:val="000000"/>
                <w:spacing w:val="0"/>
                <w:w w:val="100"/>
                <w:kern w:val="0"/>
                <w:sz w:val="20"/>
                <w:szCs w:val="20"/>
                <w:lang w:bidi="ar"/>
              </w:rPr>
              <w:t>符号</w:t>
            </w:r>
          </w:p>
        </w:tc>
        <w:tc>
          <w:tcPr>
            <w:tcW w:w="630" w:type="dxa"/>
            <w:tcBorders>
              <w:top w:val="single" w:color="000000" w:sz="4" w:space="0"/>
              <w:left w:val="single" w:color="000000" w:sz="4" w:space="0"/>
              <w:bottom w:val="single" w:color="000000" w:sz="4" w:space="0"/>
              <w:right w:val="single" w:color="000000" w:sz="4" w:space="0"/>
            </w:tcBorders>
            <w:shd w:val="clear" w:color="auto" w:fill="auto"/>
          </w:tcPr>
          <w:p>
            <w:pPr>
              <w:widowControl/>
              <w:snapToGrid/>
              <w:spacing w:before="0" w:beforeAutospacing="0" w:after="0" w:afterAutospacing="0" w:line="240" w:lineRule="auto"/>
              <w:jc w:val="center"/>
              <w:textAlignment w:val="center"/>
              <w:rPr>
                <w:rFonts w:ascii="Times New Roman" w:hAnsi="Times New Roman" w:eastAsia="仿宋_GB2312" w:cs="Times New Roman"/>
                <w:b/>
                <w:bCs/>
                <w:i w:val="0"/>
                <w:caps w:val="0"/>
                <w:color w:val="000000"/>
                <w:spacing w:val="0"/>
                <w:w w:val="100"/>
                <w:kern w:val="0"/>
                <w:sz w:val="20"/>
                <w:szCs w:val="20"/>
                <w:lang w:bidi="ar"/>
              </w:rPr>
            </w:pPr>
            <w:r>
              <w:rPr>
                <w:rFonts w:ascii="Times New Roman" w:hAnsi="Times New Roman" w:eastAsia="仿宋_GB2312" w:cs="Times New Roman"/>
                <w:b/>
                <w:bCs/>
                <w:i w:val="0"/>
                <w:caps w:val="0"/>
                <w:color w:val="000000"/>
                <w:spacing w:val="0"/>
                <w:w w:val="100"/>
                <w:kern w:val="0"/>
                <w:sz w:val="20"/>
                <w:szCs w:val="20"/>
                <w:lang w:bidi="ar"/>
              </w:rPr>
              <w:t>值</w:t>
            </w:r>
          </w:p>
        </w:tc>
        <w:tc>
          <w:tcPr>
            <w:tcW w:w="650" w:type="dxa"/>
            <w:tcBorders>
              <w:top w:val="single" w:color="000000" w:sz="4" w:space="0"/>
              <w:left w:val="single" w:color="000000" w:sz="4" w:space="0"/>
              <w:bottom w:val="single" w:color="000000" w:sz="4" w:space="0"/>
              <w:right w:val="single" w:color="000000" w:sz="4" w:space="0"/>
            </w:tcBorders>
            <w:shd w:val="clear" w:color="auto" w:fill="auto"/>
          </w:tcPr>
          <w:p>
            <w:pPr>
              <w:widowControl/>
              <w:snapToGrid/>
              <w:spacing w:before="0" w:beforeAutospacing="0" w:after="0" w:afterAutospacing="0" w:line="240" w:lineRule="auto"/>
              <w:jc w:val="center"/>
              <w:textAlignment w:val="center"/>
              <w:rPr>
                <w:rFonts w:ascii="Times New Roman" w:hAnsi="Times New Roman" w:eastAsia="仿宋_GB2312" w:cs="Times New Roman"/>
                <w:b/>
                <w:bCs/>
                <w:i w:val="0"/>
                <w:caps w:val="0"/>
                <w:color w:val="000000"/>
                <w:spacing w:val="0"/>
                <w:w w:val="100"/>
                <w:kern w:val="0"/>
                <w:sz w:val="20"/>
                <w:szCs w:val="20"/>
                <w:lang w:bidi="ar"/>
              </w:rPr>
            </w:pPr>
            <w:r>
              <w:rPr>
                <w:rFonts w:ascii="Times New Roman" w:hAnsi="Times New Roman" w:eastAsia="仿宋_GB2312" w:cs="Times New Roman"/>
                <w:b/>
                <w:bCs/>
                <w:i w:val="0"/>
                <w:caps w:val="0"/>
                <w:color w:val="000000"/>
                <w:spacing w:val="0"/>
                <w:w w:val="100"/>
                <w:kern w:val="0"/>
                <w:sz w:val="20"/>
                <w:szCs w:val="20"/>
                <w:lang w:bidi="ar"/>
              </w:rPr>
              <w:t>单位</w:t>
            </w:r>
          </w:p>
        </w:tc>
        <w:tc>
          <w:tcPr>
            <w:tcW w:w="1080" w:type="dxa"/>
            <w:vMerge w:val="continue"/>
            <w:tcBorders>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r>
      <w:tr>
        <w:tblPrEx>
          <w:tblCellMar>
            <w:top w:w="0" w:type="dxa"/>
            <w:left w:w="108" w:type="dxa"/>
            <w:bottom w:w="0" w:type="dxa"/>
            <w:right w:w="108" w:type="dxa"/>
          </w:tblCellMar>
        </w:tblPrEx>
        <w:trPr>
          <w:trHeight w:val="1020" w:hRule="atLeast"/>
        </w:trPr>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部门产出</w:t>
            </w: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数量</w:t>
            </w: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示范项目实施数量</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全部完成得满分，每减少1个，扣权重分的</w:t>
            </w:r>
            <w:r>
              <w:rPr>
                <w:rFonts w:hint="eastAsia" w:ascii="Times New Roman" w:hAnsi="Times New Roman" w:eastAsia="仿宋_GB2312" w:cs="Times New Roman"/>
                <w:b w:val="0"/>
                <w:i w:val="0"/>
                <w:caps w:val="0"/>
                <w:color w:val="000000"/>
                <w:spacing w:val="0"/>
                <w:w w:val="100"/>
                <w:kern w:val="0"/>
                <w:sz w:val="20"/>
                <w:szCs w:val="20"/>
                <w:lang w:bidi="ar"/>
              </w:rPr>
              <w:t>50</w:t>
            </w:r>
            <w:r>
              <w:rPr>
                <w:rFonts w:ascii="Times New Roman" w:hAnsi="Times New Roman" w:eastAsia="仿宋_GB2312" w:cs="Times New Roman"/>
                <w:b w:val="0"/>
                <w:i w:val="0"/>
                <w:caps w:val="0"/>
                <w:color w:val="000000"/>
                <w:spacing w:val="0"/>
                <w:w w:val="100"/>
                <w:kern w:val="0"/>
                <w:sz w:val="20"/>
                <w:szCs w:val="20"/>
                <w:lang w:bidi="ar"/>
              </w:rPr>
              <w:t>%</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示范项目实施项数情况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 xml:space="preserve"> =</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hint="eastAsia" w:ascii="Times New Roman" w:hAnsi="Times New Roman" w:eastAsia="宋体" w:cs="Times New Roman"/>
                <w:b w:val="0"/>
                <w:i w:val="0"/>
                <w:caps w:val="0"/>
                <w:color w:val="000000"/>
                <w:spacing w:val="0"/>
                <w:w w:val="100"/>
                <w:kern w:val="0"/>
                <w:sz w:val="20"/>
                <w:szCs w:val="20"/>
                <w:lang w:bidi="ar"/>
              </w:rPr>
              <w:t>2</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项</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计划标准</w:t>
            </w:r>
          </w:p>
        </w:tc>
      </w:tr>
      <w:tr>
        <w:tblPrEx>
          <w:tblCellMar>
            <w:top w:w="0" w:type="dxa"/>
            <w:left w:w="108" w:type="dxa"/>
            <w:bottom w:w="0" w:type="dxa"/>
            <w:right w:w="108" w:type="dxa"/>
          </w:tblCellMar>
        </w:tblPrEx>
        <w:trPr>
          <w:trHeight w:val="120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新品种、新技术示范个数</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全部完成得满分，每减少</w:t>
            </w:r>
            <w:r>
              <w:rPr>
                <w:rFonts w:hint="eastAsia" w:ascii="Times New Roman" w:hAnsi="Times New Roman" w:eastAsia="仿宋_GB2312" w:cs="Times New Roman"/>
                <w:b w:val="0"/>
                <w:i w:val="0"/>
                <w:caps w:val="0"/>
                <w:color w:val="000000"/>
                <w:spacing w:val="0"/>
                <w:w w:val="100"/>
                <w:kern w:val="0"/>
                <w:sz w:val="20"/>
                <w:szCs w:val="20"/>
                <w:lang w:bidi="ar"/>
              </w:rPr>
              <w:t>1</w:t>
            </w:r>
            <w:r>
              <w:rPr>
                <w:rFonts w:ascii="Times New Roman" w:hAnsi="Times New Roman" w:eastAsia="仿宋_GB2312" w:cs="Times New Roman"/>
                <w:b w:val="0"/>
                <w:i w:val="0"/>
                <w:caps w:val="0"/>
                <w:color w:val="000000"/>
                <w:spacing w:val="0"/>
                <w:w w:val="100"/>
                <w:kern w:val="0"/>
                <w:sz w:val="20"/>
                <w:szCs w:val="20"/>
                <w:lang w:bidi="ar"/>
              </w:rPr>
              <w:t>个，扣权重分的</w:t>
            </w:r>
            <w:r>
              <w:rPr>
                <w:rFonts w:hint="eastAsia" w:ascii="Times New Roman" w:hAnsi="Times New Roman" w:eastAsia="仿宋_GB2312" w:cs="Times New Roman"/>
                <w:b w:val="0"/>
                <w:i w:val="0"/>
                <w:caps w:val="0"/>
                <w:color w:val="000000"/>
                <w:spacing w:val="0"/>
                <w:w w:val="100"/>
                <w:kern w:val="0"/>
                <w:sz w:val="20"/>
                <w:szCs w:val="20"/>
                <w:lang w:bidi="ar"/>
              </w:rPr>
              <w:t>50</w:t>
            </w:r>
            <w:r>
              <w:rPr>
                <w:rFonts w:ascii="Times New Roman" w:hAnsi="Times New Roman" w:eastAsia="仿宋_GB2312" w:cs="Times New Roman"/>
                <w:b w:val="0"/>
                <w:i w:val="0"/>
                <w:caps w:val="0"/>
                <w:color w:val="000000"/>
                <w:spacing w:val="0"/>
                <w:w w:val="100"/>
                <w:kern w:val="0"/>
                <w:sz w:val="20"/>
                <w:szCs w:val="20"/>
                <w:lang w:bidi="ar"/>
              </w:rPr>
              <w:t>%</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新品种、新技术示范个数情况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hint="eastAsia" w:ascii="Times New Roman" w:hAnsi="Times New Roman" w:eastAsia="宋体" w:cs="Times New Roman"/>
                <w:b w:val="0"/>
                <w:i w:val="0"/>
                <w:caps w:val="0"/>
                <w:color w:val="000000"/>
                <w:spacing w:val="0"/>
                <w:w w:val="100"/>
                <w:kern w:val="0"/>
                <w:sz w:val="20"/>
                <w:szCs w:val="20"/>
                <w:lang w:bidi="ar"/>
              </w:rPr>
              <w:t>2</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计划标准</w:t>
            </w:r>
          </w:p>
        </w:tc>
      </w:tr>
      <w:tr>
        <w:tblPrEx>
          <w:tblCellMar>
            <w:top w:w="0" w:type="dxa"/>
            <w:left w:w="108" w:type="dxa"/>
            <w:bottom w:w="0" w:type="dxa"/>
            <w:right w:w="108" w:type="dxa"/>
          </w:tblCellMar>
        </w:tblPrEx>
        <w:trPr>
          <w:trHeight w:val="120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引进新品种种质资源数量</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全部完成得满分，每减少5个，扣除权重分的10%</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考核研究类项目引进新品种种质资源数量情况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hint="eastAsia" w:ascii="Times New Roman" w:hAnsi="Times New Roman" w:eastAsia="宋体" w:cs="Times New Roman"/>
                <w:b w:val="0"/>
                <w:i w:val="0"/>
                <w:caps w:val="0"/>
                <w:color w:val="000000"/>
                <w:spacing w:val="0"/>
                <w:w w:val="100"/>
                <w:sz w:val="20"/>
                <w:szCs w:val="20"/>
              </w:rPr>
              <w:t>96</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计划标准</w:t>
            </w:r>
          </w:p>
        </w:tc>
      </w:tr>
      <w:tr>
        <w:tblPrEx>
          <w:tblCellMar>
            <w:top w:w="0" w:type="dxa"/>
            <w:left w:w="108" w:type="dxa"/>
            <w:bottom w:w="0" w:type="dxa"/>
            <w:right w:w="108" w:type="dxa"/>
          </w:tblCellMar>
        </w:tblPrEx>
        <w:trPr>
          <w:trHeight w:val="120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研究项目数量</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全部完成得满分，每减少1个，扣除权重分的10%</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考核种质资源创新及农、牧业关键技术研究项目个数</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hint="eastAsia" w:ascii="Times New Roman" w:hAnsi="Times New Roman" w:eastAsia="宋体" w:cs="Times New Roman"/>
                <w:b w:val="0"/>
                <w:i w:val="0"/>
                <w:caps w:val="0"/>
                <w:color w:val="000000"/>
                <w:spacing w:val="0"/>
                <w:w w:val="100"/>
                <w:sz w:val="20"/>
                <w:szCs w:val="20"/>
              </w:rPr>
              <w:t>9</w:t>
            </w:r>
          </w:p>
        </w:tc>
        <w:tc>
          <w:tcPr>
            <w:tcW w:w="6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个</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计划标准</w:t>
            </w:r>
          </w:p>
        </w:tc>
      </w:tr>
      <w:tr>
        <w:tblPrEx>
          <w:tblCellMar>
            <w:top w:w="0" w:type="dxa"/>
            <w:left w:w="108" w:type="dxa"/>
            <w:bottom w:w="0" w:type="dxa"/>
            <w:right w:w="108" w:type="dxa"/>
          </w:tblCellMar>
        </w:tblPrEx>
        <w:trPr>
          <w:trHeight w:val="96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研究项目占用露地面积</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全部完成得满分，每减少5亩扣除权重分的10%</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反映研究项目占用露地面积情况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kern w:val="0"/>
                <w:sz w:val="20"/>
                <w:szCs w:val="20"/>
                <w:lang w:bidi="ar"/>
              </w:rPr>
            </w:pPr>
            <w:r>
              <w:rPr>
                <w:rFonts w:ascii="Times New Roman" w:hAnsi="Times New Roman" w:eastAsia="宋体"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kern w:val="0"/>
                <w:sz w:val="20"/>
                <w:szCs w:val="20"/>
                <w:lang w:bidi="ar"/>
              </w:rPr>
            </w:pPr>
            <w:r>
              <w:rPr>
                <w:rFonts w:hint="eastAsia" w:ascii="Times New Roman" w:hAnsi="Times New Roman" w:eastAsia="宋体" w:cs="Times New Roman"/>
                <w:b w:val="0"/>
                <w:i w:val="0"/>
                <w:caps w:val="0"/>
                <w:color w:val="000000"/>
                <w:spacing w:val="0"/>
                <w:w w:val="100"/>
                <w:kern w:val="0"/>
                <w:sz w:val="20"/>
                <w:szCs w:val="20"/>
                <w:lang w:bidi="ar"/>
              </w:rPr>
              <w:t>87</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hint="eastAsia" w:ascii="Times New Roman" w:hAnsi="Times New Roman" w:eastAsia="仿宋_GB2312" w:cs="Times New Roman"/>
                <w:b w:val="0"/>
                <w:i w:val="0"/>
                <w:caps w:val="0"/>
                <w:color w:val="000000"/>
                <w:spacing w:val="0"/>
                <w:w w:val="100"/>
                <w:kern w:val="0"/>
                <w:sz w:val="20"/>
                <w:szCs w:val="20"/>
                <w:lang w:bidi="ar"/>
              </w:rPr>
              <w:t>亩</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sz w:val="20"/>
                <w:szCs w:val="20"/>
              </w:rPr>
              <w:t>计划标准</w:t>
            </w:r>
          </w:p>
        </w:tc>
      </w:tr>
      <w:tr>
        <w:tblPrEx>
          <w:tblCellMar>
            <w:top w:w="0" w:type="dxa"/>
            <w:left w:w="108" w:type="dxa"/>
            <w:bottom w:w="0" w:type="dxa"/>
            <w:right w:w="108" w:type="dxa"/>
          </w:tblCellMar>
        </w:tblPrEx>
        <w:trPr>
          <w:trHeight w:val="1537"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研究、示范占用棚室数量</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全部完成得满分，每减少1个，扣权重分的10%</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研究、示范项目占用棚室数量情况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kern w:val="0"/>
                <w:sz w:val="20"/>
                <w:szCs w:val="20"/>
                <w:lang w:bidi="ar"/>
              </w:rPr>
            </w:pPr>
            <w:r>
              <w:rPr>
                <w:rFonts w:ascii="Times New Roman" w:hAnsi="Times New Roman" w:eastAsia="宋体"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kern w:val="0"/>
                <w:sz w:val="20"/>
                <w:szCs w:val="20"/>
                <w:lang w:bidi="ar"/>
              </w:rPr>
            </w:pPr>
            <w:r>
              <w:rPr>
                <w:rFonts w:hint="eastAsia" w:ascii="Times New Roman" w:hAnsi="Times New Roman" w:eastAsia="宋体" w:cs="Times New Roman"/>
                <w:b w:val="0"/>
                <w:i w:val="0"/>
                <w:caps w:val="0"/>
                <w:color w:val="000000"/>
                <w:spacing w:val="0"/>
                <w:w w:val="100"/>
                <w:kern w:val="0"/>
                <w:sz w:val="20"/>
                <w:szCs w:val="20"/>
                <w:lang w:bidi="ar"/>
              </w:rPr>
              <w:t>6</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hint="eastAsia" w:ascii="Times New Roman" w:hAnsi="Times New Roman" w:eastAsia="仿宋_GB2312" w:cs="Times New Roman"/>
                <w:b w:val="0"/>
                <w:i w:val="0"/>
                <w:caps w:val="0"/>
                <w:color w:val="000000"/>
                <w:spacing w:val="0"/>
                <w:w w:val="100"/>
                <w:kern w:val="0"/>
                <w:sz w:val="20"/>
                <w:szCs w:val="20"/>
                <w:lang w:bidi="ar"/>
              </w:rPr>
              <w:t>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sz w:val="20"/>
                <w:szCs w:val="20"/>
              </w:rPr>
              <w:t>计划标准</w:t>
            </w:r>
          </w:p>
        </w:tc>
      </w:tr>
      <w:tr>
        <w:tblPrEx>
          <w:tblCellMar>
            <w:top w:w="0" w:type="dxa"/>
            <w:left w:w="108" w:type="dxa"/>
            <w:bottom w:w="0" w:type="dxa"/>
            <w:right w:w="108" w:type="dxa"/>
          </w:tblCellMar>
        </w:tblPrEx>
        <w:trPr>
          <w:trHeight w:val="883"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网络维护次数</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完成得满分，否则不得分</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年度内网络漏洞扫描修复次数</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kern w:val="0"/>
                <w:sz w:val="20"/>
                <w:szCs w:val="20"/>
                <w:lang w:bidi="ar"/>
              </w:rPr>
            </w:pPr>
            <w:r>
              <w:rPr>
                <w:rFonts w:hint="eastAsia" w:ascii="Times New Roman" w:hAnsi="Times New Roman" w:eastAsia="宋体"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kern w:val="0"/>
                <w:sz w:val="20"/>
                <w:szCs w:val="20"/>
                <w:lang w:bidi="ar"/>
              </w:rPr>
            </w:pPr>
            <w:r>
              <w:rPr>
                <w:rFonts w:hint="eastAsia" w:ascii="Times New Roman" w:hAnsi="Times New Roman" w:eastAsia="宋体" w:cs="Times New Roman"/>
                <w:b w:val="0"/>
                <w:i w:val="0"/>
                <w:caps w:val="0"/>
                <w:color w:val="000000"/>
                <w:spacing w:val="0"/>
                <w:w w:val="100"/>
                <w:kern w:val="0"/>
                <w:sz w:val="20"/>
                <w:szCs w:val="20"/>
                <w:lang w:bidi="ar"/>
              </w:rPr>
              <w:t>12</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hint="eastAsia" w:ascii="Times New Roman" w:hAnsi="Times New Roman" w:eastAsia="仿宋_GB2312" w:cs="Times New Roman"/>
                <w:b w:val="0"/>
                <w:i w:val="0"/>
                <w:caps w:val="0"/>
                <w:color w:val="000000"/>
                <w:spacing w:val="0"/>
                <w:w w:val="100"/>
                <w:kern w:val="0"/>
                <w:sz w:val="20"/>
                <w:szCs w:val="20"/>
                <w:lang w:bidi="ar"/>
              </w:rPr>
              <w:t>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sz w:val="20"/>
                <w:szCs w:val="20"/>
              </w:rPr>
              <w:t>计划标准</w:t>
            </w:r>
          </w:p>
        </w:tc>
      </w:tr>
      <w:tr>
        <w:tblPrEx>
          <w:tblCellMar>
            <w:top w:w="0" w:type="dxa"/>
            <w:left w:w="108" w:type="dxa"/>
            <w:bottom w:w="0" w:type="dxa"/>
            <w:right w:w="108" w:type="dxa"/>
          </w:tblCellMar>
        </w:tblPrEx>
        <w:trPr>
          <w:trHeight w:val="1123"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维护基地面积</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完成得满分，否则不得分</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主要考核维护管理基地占地面积情况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highlight w:val="none"/>
                <w:lang w:bidi="ar"/>
              </w:rPr>
              <w:t>289</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亩</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基地占地面积</w:t>
            </w:r>
          </w:p>
        </w:tc>
      </w:tr>
      <w:tr>
        <w:tblPrEx>
          <w:tblCellMar>
            <w:top w:w="0" w:type="dxa"/>
            <w:left w:w="108" w:type="dxa"/>
            <w:bottom w:w="0" w:type="dxa"/>
            <w:right w:w="108" w:type="dxa"/>
          </w:tblCellMar>
        </w:tblPrEx>
        <w:trPr>
          <w:trHeight w:val="105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质量</w:t>
            </w: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 xml:space="preserve">生产资料质量合格率 </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合格得满分，否则不得分</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反映生产资料质量合格</w:t>
            </w:r>
            <w:r>
              <w:rPr>
                <w:rFonts w:hint="eastAsia" w:ascii="Times New Roman" w:hAnsi="Times New Roman" w:eastAsia="仿宋_GB2312" w:cs="Times New Roman"/>
                <w:b w:val="0"/>
                <w:i w:val="0"/>
                <w:caps w:val="0"/>
                <w:color w:val="000000"/>
                <w:spacing w:val="0"/>
                <w:w w:val="100"/>
                <w:kern w:val="0"/>
                <w:sz w:val="20"/>
                <w:szCs w:val="20"/>
                <w:lang w:bidi="ar"/>
              </w:rPr>
              <w:t>率</w:t>
            </w:r>
            <w:r>
              <w:rPr>
                <w:rFonts w:ascii="Times New Roman" w:hAnsi="Times New Roman" w:eastAsia="仿宋_GB2312" w:cs="Times New Roman"/>
                <w:b w:val="0"/>
                <w:i w:val="0"/>
                <w:caps w:val="0"/>
                <w:color w:val="000000"/>
                <w:spacing w:val="0"/>
                <w:w w:val="100"/>
                <w:kern w:val="0"/>
                <w:sz w:val="20"/>
                <w:szCs w:val="20"/>
                <w:lang w:bidi="ar"/>
              </w:rPr>
              <w:t>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100</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计划标准</w:t>
            </w:r>
          </w:p>
        </w:tc>
      </w:tr>
      <w:tr>
        <w:tblPrEx>
          <w:tblCellMar>
            <w:top w:w="0" w:type="dxa"/>
            <w:left w:w="108" w:type="dxa"/>
            <w:bottom w:w="0" w:type="dxa"/>
            <w:right w:w="108" w:type="dxa"/>
          </w:tblCellMar>
        </w:tblPrEx>
        <w:trPr>
          <w:trHeight w:val="72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仿宋_GB2312" w:hAnsi="仿宋_GB2312" w:eastAsia="仿宋_GB2312" w:cs="仿宋_GB2312"/>
                <w:b w:val="0"/>
                <w:i w:val="0"/>
                <w:caps w:val="0"/>
                <w:color w:val="000000"/>
                <w:spacing w:val="0"/>
                <w:w w:val="100"/>
                <w:kern w:val="0"/>
                <w:sz w:val="20"/>
                <w:szCs w:val="20"/>
                <w:lang w:bidi="ar"/>
              </w:rPr>
            </w:pPr>
            <w:r>
              <w:rPr>
                <w:rFonts w:hint="eastAsia" w:ascii="仿宋_GB2312" w:hAnsi="仿宋_GB2312" w:eastAsia="仿宋_GB2312" w:cs="仿宋_GB2312"/>
                <w:b w:val="0"/>
                <w:i w:val="0"/>
                <w:caps w:val="0"/>
                <w:color w:val="000000"/>
                <w:spacing w:val="0"/>
                <w:w w:val="100"/>
                <w:kern w:val="0"/>
                <w:sz w:val="20"/>
                <w:szCs w:val="20"/>
                <w:lang w:bidi="ar"/>
              </w:rPr>
              <w:t>网络安全率</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仿宋_GB2312" w:hAnsi="仿宋_GB2312" w:eastAsia="仿宋_GB2312" w:cs="仿宋_GB2312"/>
                <w:b w:val="0"/>
                <w:i w:val="0"/>
                <w:caps w:val="0"/>
                <w:color w:val="000000"/>
                <w:spacing w:val="0"/>
                <w:w w:val="100"/>
                <w:kern w:val="0"/>
                <w:sz w:val="20"/>
                <w:szCs w:val="20"/>
                <w:lang w:bidi="ar"/>
              </w:rPr>
            </w:pPr>
            <w:r>
              <w:rPr>
                <w:rFonts w:hint="eastAsia" w:ascii="仿宋_GB2312" w:hAnsi="仿宋_GB2312" w:eastAsia="仿宋_GB2312" w:cs="仿宋_GB2312"/>
                <w:b w:val="0"/>
                <w:i w:val="0"/>
                <w:caps w:val="0"/>
                <w:color w:val="000000"/>
                <w:spacing w:val="0"/>
                <w:w w:val="100"/>
                <w:kern w:val="0"/>
                <w:sz w:val="20"/>
                <w:szCs w:val="20"/>
                <w:lang w:bidi="ar"/>
              </w:rPr>
              <w:t>完成得满分，每减少10%，扣权重分的10%</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仿宋_GB2312" w:hAnsi="仿宋_GB2312" w:eastAsia="仿宋_GB2312" w:cs="仿宋_GB2312"/>
                <w:b w:val="0"/>
                <w:i w:val="0"/>
                <w:caps w:val="0"/>
                <w:color w:val="000000"/>
                <w:spacing w:val="0"/>
                <w:w w:val="100"/>
                <w:kern w:val="0"/>
                <w:sz w:val="20"/>
                <w:szCs w:val="20"/>
                <w:lang w:bidi="ar"/>
              </w:rPr>
            </w:pPr>
            <w:r>
              <w:rPr>
                <w:rFonts w:hint="eastAsia" w:ascii="仿宋_GB2312" w:hAnsi="仿宋_GB2312" w:eastAsia="仿宋_GB2312" w:cs="仿宋_GB2312"/>
                <w:b w:val="0"/>
                <w:i w:val="0"/>
                <w:caps w:val="0"/>
                <w:color w:val="000000"/>
                <w:spacing w:val="0"/>
                <w:w w:val="100"/>
                <w:kern w:val="0"/>
                <w:sz w:val="20"/>
                <w:szCs w:val="20"/>
                <w:lang w:bidi="ar"/>
              </w:rPr>
              <w:t>反映每月网络修复后系统安全率情况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100</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仿宋_GB2312" w:hAnsi="宋体" w:eastAsia="仿宋_GB2312" w:cs="仿宋_GB2312"/>
                <w:b w:val="0"/>
                <w:i w:val="0"/>
                <w:caps w:val="0"/>
                <w:color w:val="000000"/>
                <w:spacing w:val="0"/>
                <w:w w:val="100"/>
                <w:kern w:val="0"/>
                <w:sz w:val="20"/>
                <w:szCs w:val="20"/>
                <w:lang w:bidi="ar"/>
              </w:rPr>
            </w:pPr>
            <w:r>
              <w:rPr>
                <w:rFonts w:hint="eastAsia" w:ascii="仿宋_GB2312" w:hAnsi="宋体" w:eastAsia="仿宋_GB2312" w:cs="仿宋_GB2312"/>
                <w:b w:val="0"/>
                <w:i w:val="0"/>
                <w:caps w:val="0"/>
                <w:color w:val="000000"/>
                <w:spacing w:val="0"/>
                <w:w w:val="100"/>
                <w:kern w:val="0"/>
                <w:sz w:val="20"/>
                <w:szCs w:val="20"/>
                <w:lang w:bidi="ar"/>
              </w:rPr>
              <w:t>合同</w:t>
            </w:r>
          </w:p>
        </w:tc>
      </w:tr>
      <w:tr>
        <w:tblPrEx>
          <w:tblCellMar>
            <w:top w:w="0" w:type="dxa"/>
            <w:left w:w="108" w:type="dxa"/>
            <w:bottom w:w="0" w:type="dxa"/>
            <w:right w:w="108" w:type="dxa"/>
          </w:tblCellMar>
        </w:tblPrEx>
        <w:trPr>
          <w:trHeight w:val="72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仿宋_GB2312" w:hAnsi="仿宋_GB2312" w:eastAsia="仿宋_GB2312" w:cs="仿宋_GB2312"/>
                <w:b w:val="0"/>
                <w:i w:val="0"/>
                <w:caps w:val="0"/>
                <w:color w:val="000000"/>
                <w:spacing w:val="0"/>
                <w:w w:val="100"/>
                <w:sz w:val="20"/>
                <w:szCs w:val="20"/>
              </w:rPr>
            </w:pPr>
            <w:r>
              <w:rPr>
                <w:rFonts w:hint="eastAsia" w:ascii="仿宋_GB2312" w:hAnsi="仿宋_GB2312" w:eastAsia="仿宋_GB2312" w:cs="仿宋_GB2312"/>
                <w:b w:val="0"/>
                <w:i w:val="0"/>
                <w:caps w:val="0"/>
                <w:color w:val="000000"/>
                <w:spacing w:val="0"/>
                <w:w w:val="100"/>
                <w:kern w:val="0"/>
                <w:sz w:val="20"/>
                <w:szCs w:val="20"/>
                <w:lang w:bidi="ar"/>
              </w:rPr>
              <w:t>研究、示范规模达标率</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仿宋_GB2312" w:hAnsi="仿宋_GB2312" w:eastAsia="仿宋_GB2312" w:cs="仿宋_GB2312"/>
                <w:b w:val="0"/>
                <w:i w:val="0"/>
                <w:caps w:val="0"/>
                <w:color w:val="000000"/>
                <w:spacing w:val="0"/>
                <w:w w:val="100"/>
                <w:sz w:val="20"/>
                <w:szCs w:val="20"/>
              </w:rPr>
            </w:pPr>
            <w:r>
              <w:rPr>
                <w:rFonts w:hint="eastAsia" w:ascii="仿宋_GB2312" w:hAnsi="仿宋_GB2312" w:eastAsia="仿宋_GB2312" w:cs="仿宋_GB2312"/>
                <w:b w:val="0"/>
                <w:i w:val="0"/>
                <w:caps w:val="0"/>
                <w:color w:val="000000"/>
                <w:spacing w:val="0"/>
                <w:w w:val="100"/>
                <w:kern w:val="0"/>
                <w:sz w:val="20"/>
                <w:szCs w:val="20"/>
                <w:lang w:bidi="ar"/>
              </w:rPr>
              <w:t>全部完成得满分，每减少10%，扣权重分的10%</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仿宋_GB2312" w:hAnsi="仿宋_GB2312" w:eastAsia="仿宋_GB2312" w:cs="仿宋_GB2312"/>
                <w:b w:val="0"/>
                <w:i w:val="0"/>
                <w:caps w:val="0"/>
                <w:color w:val="000000"/>
                <w:spacing w:val="0"/>
                <w:w w:val="100"/>
                <w:sz w:val="20"/>
                <w:szCs w:val="20"/>
              </w:rPr>
            </w:pPr>
            <w:r>
              <w:rPr>
                <w:rFonts w:hint="eastAsia" w:ascii="仿宋_GB2312" w:hAnsi="仿宋_GB2312" w:eastAsia="仿宋_GB2312" w:cs="仿宋_GB2312"/>
                <w:b w:val="0"/>
                <w:i w:val="0"/>
                <w:caps w:val="0"/>
                <w:color w:val="000000"/>
                <w:spacing w:val="0"/>
                <w:w w:val="100"/>
                <w:kern w:val="0"/>
                <w:sz w:val="20"/>
                <w:szCs w:val="20"/>
                <w:lang w:bidi="ar"/>
              </w:rPr>
              <w:t>研究示范项目规模达标情况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kern w:val="0"/>
                <w:sz w:val="20"/>
                <w:szCs w:val="20"/>
                <w:lang w:bidi="ar"/>
              </w:rPr>
            </w:pPr>
            <w:r>
              <w:rPr>
                <w:rFonts w:ascii="Times New Roman" w:hAnsi="Times New Roman" w:eastAsia="宋体"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kern w:val="0"/>
                <w:sz w:val="20"/>
                <w:szCs w:val="20"/>
                <w:lang w:bidi="ar"/>
              </w:rPr>
            </w:pPr>
            <w:r>
              <w:rPr>
                <w:rFonts w:ascii="Times New Roman" w:hAnsi="Times New Roman" w:eastAsia="宋体" w:cs="Times New Roman"/>
                <w:b w:val="0"/>
                <w:i w:val="0"/>
                <w:caps w:val="0"/>
                <w:color w:val="000000"/>
                <w:spacing w:val="0"/>
                <w:w w:val="100"/>
                <w:kern w:val="0"/>
                <w:sz w:val="20"/>
                <w:szCs w:val="20"/>
                <w:lang w:bidi="ar"/>
              </w:rPr>
              <w:t>100</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kern w:val="0"/>
                <w:sz w:val="20"/>
                <w:szCs w:val="20"/>
                <w:lang w:bidi="ar"/>
              </w:rPr>
            </w:pPr>
            <w:r>
              <w:rPr>
                <w:rFonts w:hint="eastAsia" w:ascii="Times New Roman" w:hAnsi="Times New Roman" w:eastAsia="宋体" w:cs="Times New Roman"/>
                <w:b w:val="0"/>
                <w:i w:val="0"/>
                <w:caps w:val="0"/>
                <w:color w:val="000000"/>
                <w:spacing w:val="0"/>
                <w:w w:val="100"/>
                <w:kern w:val="0"/>
                <w:sz w:val="20"/>
                <w:szCs w:val="20"/>
                <w:lang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kern w:val="0"/>
                <w:sz w:val="20"/>
                <w:szCs w:val="20"/>
                <w:lang w:bidi="ar"/>
              </w:rPr>
            </w:pPr>
            <w:r>
              <w:rPr>
                <w:rFonts w:ascii="仿宋_GB2312" w:hAnsi="宋体" w:eastAsia="仿宋_GB2312" w:cs="仿宋_GB2312"/>
                <w:b w:val="0"/>
                <w:i w:val="0"/>
                <w:caps w:val="0"/>
                <w:color w:val="000000"/>
                <w:spacing w:val="0"/>
                <w:w w:val="100"/>
                <w:kern w:val="0"/>
                <w:sz w:val="20"/>
                <w:szCs w:val="20"/>
                <w:lang w:bidi="ar"/>
              </w:rPr>
              <w:t>计划标准</w:t>
            </w:r>
          </w:p>
        </w:tc>
      </w:tr>
      <w:tr>
        <w:tblPrEx>
          <w:tblCellMar>
            <w:top w:w="0" w:type="dxa"/>
            <w:left w:w="108" w:type="dxa"/>
            <w:bottom w:w="0" w:type="dxa"/>
            <w:right w:w="108" w:type="dxa"/>
          </w:tblCellMar>
        </w:tblPrEx>
        <w:trPr>
          <w:trHeight w:val="96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hint="eastAsia" w:ascii="Times New Roman" w:hAnsi="Times New Roman" w:eastAsia="仿宋_GB2312" w:cs="Times New Roman"/>
                <w:b w:val="0"/>
                <w:i w:val="0"/>
                <w:caps w:val="0"/>
                <w:color w:val="000000"/>
                <w:spacing w:val="0"/>
                <w:w w:val="100"/>
                <w:kern w:val="0"/>
                <w:sz w:val="20"/>
                <w:szCs w:val="20"/>
                <w:lang w:bidi="ar"/>
              </w:rPr>
              <w:t>验收</w:t>
            </w:r>
            <w:r>
              <w:rPr>
                <w:rFonts w:ascii="Times New Roman" w:hAnsi="Times New Roman" w:eastAsia="仿宋_GB2312" w:cs="Times New Roman"/>
                <w:b w:val="0"/>
                <w:i w:val="0"/>
                <w:caps w:val="0"/>
                <w:color w:val="000000"/>
                <w:spacing w:val="0"/>
                <w:w w:val="100"/>
                <w:kern w:val="0"/>
                <w:sz w:val="20"/>
                <w:szCs w:val="20"/>
                <w:lang w:bidi="ar"/>
              </w:rPr>
              <w:t xml:space="preserve">合格率 </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合格得满分，否则不得分</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棚室、值班室等维修工程验收合格率</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100</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计划标准</w:t>
            </w:r>
          </w:p>
        </w:tc>
      </w:tr>
      <w:tr>
        <w:tblPrEx>
          <w:tblCellMar>
            <w:top w:w="0" w:type="dxa"/>
            <w:left w:w="108" w:type="dxa"/>
            <w:bottom w:w="0" w:type="dxa"/>
            <w:right w:w="108" w:type="dxa"/>
          </w:tblCellMar>
        </w:tblPrEx>
        <w:trPr>
          <w:trHeight w:val="1305" w:hRule="atLeast"/>
        </w:trPr>
        <w:tc>
          <w:tcPr>
            <w:tcW w:w="1080" w:type="dxa"/>
            <w:vMerge w:val="restart"/>
            <w:tcBorders>
              <w:top w:val="single" w:color="auto" w:sz="4" w:space="0"/>
              <w:left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部门产出</w:t>
            </w: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时效</w:t>
            </w:r>
          </w:p>
        </w:tc>
        <w:tc>
          <w:tcPr>
            <w:tcW w:w="1080"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项目开展及时率</w:t>
            </w:r>
          </w:p>
        </w:tc>
        <w:tc>
          <w:tcPr>
            <w:tcW w:w="172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完成得满分，否则不得分</w:t>
            </w:r>
          </w:p>
        </w:tc>
        <w:tc>
          <w:tcPr>
            <w:tcW w:w="168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考核各项目是否按照时间阶段完成计划任务</w:t>
            </w:r>
          </w:p>
        </w:tc>
        <w:tc>
          <w:tcPr>
            <w:tcW w:w="72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w:t>
            </w:r>
          </w:p>
        </w:tc>
        <w:tc>
          <w:tcPr>
            <w:tcW w:w="63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100</w:t>
            </w:r>
          </w:p>
        </w:tc>
        <w:tc>
          <w:tcPr>
            <w:tcW w:w="65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w:t>
            </w:r>
          </w:p>
        </w:tc>
        <w:tc>
          <w:tcPr>
            <w:tcW w:w="108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财政资金支出进度要求</w:t>
            </w:r>
          </w:p>
        </w:tc>
      </w:tr>
      <w:tr>
        <w:tblPrEx>
          <w:tblCellMar>
            <w:top w:w="0" w:type="dxa"/>
            <w:left w:w="108" w:type="dxa"/>
            <w:bottom w:w="0" w:type="dxa"/>
            <w:right w:w="108" w:type="dxa"/>
          </w:tblCellMar>
        </w:tblPrEx>
        <w:trPr>
          <w:trHeight w:val="720" w:hRule="atLeast"/>
        </w:trPr>
        <w:tc>
          <w:tcPr>
            <w:tcW w:w="1080" w:type="dxa"/>
            <w:vMerge w:val="continue"/>
            <w:tcBorders>
              <w:left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基地维护时间</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完成得满分，否则不得分</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基地维护时间</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hint="eastAsia" w:ascii="Times New Roman" w:hAnsi="Times New Roman" w:eastAsia="仿宋_GB2312" w:cs="Times New Roman"/>
                <w:b w:val="0"/>
                <w:i w:val="0"/>
                <w:caps w:val="0"/>
                <w:color w:val="000000"/>
                <w:spacing w:val="0"/>
                <w:w w:val="100"/>
                <w:kern w:val="0"/>
                <w:sz w:val="20"/>
                <w:szCs w:val="20"/>
                <w:highlight w:val="none"/>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hint="eastAsia" w:ascii="Times New Roman" w:hAnsi="Times New Roman" w:eastAsia="宋体" w:cs="Times New Roman"/>
                <w:b w:val="0"/>
                <w:i w:val="0"/>
                <w:caps w:val="0"/>
                <w:color w:val="000000"/>
                <w:spacing w:val="0"/>
                <w:w w:val="100"/>
                <w:kern w:val="0"/>
                <w:sz w:val="20"/>
                <w:szCs w:val="20"/>
                <w:lang w:bidi="ar"/>
              </w:rPr>
              <w:t>365</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ascii="Times New Roman" w:hAnsi="Times New Roman" w:eastAsia="仿宋_GB2312" w:cs="Times New Roman"/>
                <w:b w:val="0"/>
                <w:i w:val="0"/>
                <w:caps w:val="0"/>
                <w:color w:val="000000"/>
                <w:spacing w:val="0"/>
                <w:w w:val="100"/>
                <w:sz w:val="20"/>
                <w:szCs w:val="20"/>
              </w:rPr>
            </w:pPr>
            <w:r>
              <w:rPr>
                <w:rFonts w:hint="eastAsia" w:ascii="Times New Roman" w:hAnsi="Times New Roman" w:eastAsia="仿宋_GB2312" w:cs="Times New Roman"/>
                <w:b w:val="0"/>
                <w:i w:val="0"/>
                <w:caps w:val="0"/>
                <w:color w:val="000000"/>
                <w:spacing w:val="0"/>
                <w:w w:val="100"/>
                <w:sz w:val="20"/>
                <w:szCs w:val="20"/>
              </w:rPr>
              <w:t>天</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计划标准</w:t>
            </w:r>
          </w:p>
        </w:tc>
      </w:tr>
      <w:tr>
        <w:tblPrEx>
          <w:tblCellMar>
            <w:top w:w="0" w:type="dxa"/>
            <w:left w:w="108" w:type="dxa"/>
            <w:bottom w:w="0" w:type="dxa"/>
            <w:right w:w="108" w:type="dxa"/>
          </w:tblCellMar>
        </w:tblPrEx>
        <w:trPr>
          <w:trHeight w:val="2400" w:hRule="atLeast"/>
        </w:trPr>
        <w:tc>
          <w:tcPr>
            <w:tcW w:w="1080" w:type="dxa"/>
            <w:vMerge w:val="continue"/>
            <w:tcBorders>
              <w:left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restart"/>
            <w:tcBorders>
              <w:top w:val="single" w:color="auto" w:sz="4" w:space="0"/>
              <w:left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hint="eastAsia" w:ascii="Times New Roman" w:hAnsi="Times New Roman" w:eastAsia="仿宋_GB2312" w:cs="Times New Roman"/>
                <w:b w:val="0"/>
                <w:i w:val="0"/>
                <w:caps w:val="0"/>
                <w:color w:val="000000"/>
                <w:spacing w:val="0"/>
                <w:w w:val="100"/>
                <w:kern w:val="0"/>
                <w:sz w:val="20"/>
                <w:szCs w:val="20"/>
                <w:lang w:bidi="ar"/>
              </w:rPr>
              <w:t>成本</w:t>
            </w: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公用经费控制率</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完成得满分，否则不得分</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本年度实际支出的公用经费总额小于预算安排的公用经费总额。反映和考核对运转成本的实际控制程度。</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100</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财政部门三公经费支出要求</w:t>
            </w:r>
          </w:p>
        </w:tc>
      </w:tr>
      <w:tr>
        <w:tblPrEx>
          <w:tblCellMar>
            <w:top w:w="0" w:type="dxa"/>
            <w:left w:w="108" w:type="dxa"/>
            <w:bottom w:w="0" w:type="dxa"/>
            <w:right w:w="108" w:type="dxa"/>
          </w:tblCellMar>
        </w:tblPrEx>
        <w:trPr>
          <w:trHeight w:val="370" w:hRule="atLeast"/>
        </w:trPr>
        <w:tc>
          <w:tcPr>
            <w:tcW w:w="1080" w:type="dxa"/>
            <w:vMerge w:val="continue"/>
            <w:tcBorders>
              <w:left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left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单个示范项目成本</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全部完成得满分，每减少一个，扣权重分</w:t>
            </w:r>
            <w:r>
              <w:rPr>
                <w:rFonts w:hint="eastAsia" w:ascii="Times New Roman" w:hAnsi="Times New Roman" w:eastAsia="仿宋_GB2312" w:cs="Times New Roman"/>
                <w:b w:val="0"/>
                <w:i w:val="0"/>
                <w:caps w:val="0"/>
                <w:color w:val="000000"/>
                <w:spacing w:val="0"/>
                <w:w w:val="100"/>
                <w:kern w:val="0"/>
                <w:sz w:val="20"/>
                <w:szCs w:val="20"/>
                <w:lang w:bidi="ar"/>
              </w:rPr>
              <w:t>的5</w:t>
            </w:r>
            <w:r>
              <w:rPr>
                <w:rFonts w:ascii="Times New Roman" w:hAnsi="Times New Roman" w:eastAsia="仿宋_GB2312" w:cs="Times New Roman"/>
                <w:b w:val="0"/>
                <w:i w:val="0"/>
                <w:caps w:val="0"/>
                <w:color w:val="000000"/>
                <w:spacing w:val="0"/>
                <w:w w:val="100"/>
                <w:kern w:val="0"/>
                <w:sz w:val="20"/>
                <w:szCs w:val="20"/>
                <w:lang w:bidi="ar"/>
              </w:rPr>
              <w:t>0%</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单个示范项目</w:t>
            </w:r>
            <w:r>
              <w:rPr>
                <w:rFonts w:hint="eastAsia" w:ascii="Times New Roman" w:hAnsi="Times New Roman" w:eastAsia="仿宋_GB2312" w:cs="Times New Roman"/>
                <w:b w:val="0"/>
                <w:i w:val="0"/>
                <w:caps w:val="0"/>
                <w:color w:val="000000"/>
                <w:spacing w:val="0"/>
                <w:w w:val="100"/>
                <w:kern w:val="0"/>
                <w:sz w:val="20"/>
                <w:szCs w:val="20"/>
                <w:lang w:bidi="ar"/>
              </w:rPr>
              <w:t>平均</w:t>
            </w:r>
            <w:r>
              <w:rPr>
                <w:rFonts w:ascii="Times New Roman" w:hAnsi="Times New Roman" w:eastAsia="仿宋_GB2312" w:cs="Times New Roman"/>
                <w:b w:val="0"/>
                <w:i w:val="0"/>
                <w:caps w:val="0"/>
                <w:color w:val="000000"/>
                <w:spacing w:val="0"/>
                <w:w w:val="100"/>
                <w:kern w:val="0"/>
                <w:sz w:val="20"/>
                <w:szCs w:val="20"/>
                <w:lang w:bidi="ar"/>
              </w:rPr>
              <w:t>成本</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hint="eastAsia" w:ascii="Times New Roman" w:hAnsi="Times New Roman" w:eastAsia="宋体" w:cs="Times New Roman"/>
                <w:b w:val="0"/>
                <w:i w:val="0"/>
                <w:caps w:val="0"/>
                <w:color w:val="000000"/>
                <w:spacing w:val="0"/>
                <w:w w:val="100"/>
                <w:kern w:val="0"/>
                <w:sz w:val="20"/>
                <w:szCs w:val="20"/>
                <w:lang w:bidi="ar"/>
              </w:rPr>
              <w:t>4.75</w:t>
            </w:r>
          </w:p>
        </w:tc>
        <w:tc>
          <w:tcPr>
            <w:tcW w:w="6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万元</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计划标准</w:t>
            </w:r>
          </w:p>
        </w:tc>
      </w:tr>
      <w:tr>
        <w:tblPrEx>
          <w:tblCellMar>
            <w:top w:w="0" w:type="dxa"/>
            <w:left w:w="108" w:type="dxa"/>
            <w:bottom w:w="0" w:type="dxa"/>
            <w:right w:w="108" w:type="dxa"/>
          </w:tblCellMar>
        </w:tblPrEx>
        <w:trPr>
          <w:trHeight w:val="90" w:hRule="atLeast"/>
        </w:trPr>
        <w:tc>
          <w:tcPr>
            <w:tcW w:w="1080" w:type="dxa"/>
            <w:vMerge w:val="continue"/>
            <w:tcBorders>
              <w:left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left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单个研究项目成本</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全部完成得满分，每减少一个，扣权重分</w:t>
            </w:r>
            <w:r>
              <w:rPr>
                <w:rFonts w:hint="eastAsia" w:ascii="Times New Roman" w:hAnsi="Times New Roman" w:eastAsia="仿宋_GB2312" w:cs="Times New Roman"/>
                <w:b w:val="0"/>
                <w:i w:val="0"/>
                <w:caps w:val="0"/>
                <w:color w:val="000000"/>
                <w:spacing w:val="0"/>
                <w:w w:val="100"/>
                <w:kern w:val="0"/>
                <w:sz w:val="20"/>
                <w:szCs w:val="20"/>
                <w:lang w:bidi="ar"/>
              </w:rPr>
              <w:t>的</w:t>
            </w:r>
            <w:r>
              <w:rPr>
                <w:rFonts w:ascii="Times New Roman" w:hAnsi="Times New Roman" w:eastAsia="仿宋_GB2312" w:cs="Times New Roman"/>
                <w:b w:val="0"/>
                <w:i w:val="0"/>
                <w:caps w:val="0"/>
                <w:color w:val="000000"/>
                <w:spacing w:val="0"/>
                <w:w w:val="100"/>
                <w:kern w:val="0"/>
                <w:sz w:val="20"/>
                <w:szCs w:val="20"/>
                <w:lang w:bidi="ar"/>
              </w:rPr>
              <w:t>10%</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单个研究项目</w:t>
            </w:r>
            <w:r>
              <w:rPr>
                <w:rFonts w:hint="eastAsia" w:ascii="Times New Roman" w:hAnsi="Times New Roman" w:eastAsia="仿宋_GB2312" w:cs="Times New Roman"/>
                <w:b w:val="0"/>
                <w:i w:val="0"/>
                <w:caps w:val="0"/>
                <w:color w:val="000000"/>
                <w:spacing w:val="0"/>
                <w:w w:val="100"/>
                <w:kern w:val="0"/>
                <w:sz w:val="20"/>
                <w:szCs w:val="20"/>
                <w:lang w:bidi="ar"/>
              </w:rPr>
              <w:t>平均</w:t>
            </w:r>
            <w:r>
              <w:rPr>
                <w:rFonts w:ascii="Times New Roman" w:hAnsi="Times New Roman" w:eastAsia="仿宋_GB2312" w:cs="Times New Roman"/>
                <w:b w:val="0"/>
                <w:i w:val="0"/>
                <w:caps w:val="0"/>
                <w:color w:val="000000"/>
                <w:spacing w:val="0"/>
                <w:w w:val="100"/>
                <w:kern w:val="0"/>
                <w:sz w:val="20"/>
                <w:szCs w:val="20"/>
                <w:lang w:bidi="ar"/>
              </w:rPr>
              <w:t>成本</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hint="eastAsia" w:ascii="Times New Roman" w:hAnsi="Times New Roman" w:eastAsia="宋体" w:cs="Times New Roman"/>
                <w:b w:val="0"/>
                <w:i w:val="0"/>
                <w:caps w:val="0"/>
                <w:color w:val="000000"/>
                <w:spacing w:val="0"/>
                <w:w w:val="100"/>
                <w:kern w:val="0"/>
                <w:sz w:val="20"/>
                <w:szCs w:val="20"/>
                <w:lang w:bidi="ar"/>
              </w:rPr>
              <w:t>9.73</w:t>
            </w:r>
          </w:p>
        </w:tc>
        <w:tc>
          <w:tcPr>
            <w:tcW w:w="6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万元</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计划标准</w:t>
            </w:r>
          </w:p>
        </w:tc>
      </w:tr>
      <w:tr>
        <w:tblPrEx>
          <w:tblCellMar>
            <w:top w:w="0" w:type="dxa"/>
            <w:left w:w="108" w:type="dxa"/>
            <w:bottom w:w="0" w:type="dxa"/>
            <w:right w:w="108" w:type="dxa"/>
          </w:tblCellMar>
        </w:tblPrEx>
        <w:trPr>
          <w:trHeight w:val="1050" w:hRule="atLeast"/>
        </w:trPr>
        <w:tc>
          <w:tcPr>
            <w:tcW w:w="1080" w:type="dxa"/>
            <w:vMerge w:val="continue"/>
            <w:tcBorders>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网络平均维护成本</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成本低于市场价格得满分，否则不得分</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反映本部门网络维护平均成本控制情况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kern w:val="0"/>
                <w:sz w:val="20"/>
                <w:szCs w:val="20"/>
                <w:lang w:bidi="ar"/>
              </w:rPr>
            </w:pPr>
            <w:r>
              <w:rPr>
                <w:rFonts w:hint="eastAsia" w:ascii="Times New Roman" w:hAnsi="Times New Roman" w:eastAsia="宋体" w:cs="Times New Roman"/>
                <w:b w:val="0"/>
                <w:i w:val="0"/>
                <w:caps w:val="0"/>
                <w:color w:val="000000"/>
                <w:spacing w:val="0"/>
                <w:w w:val="100"/>
                <w:kern w:val="0"/>
                <w:sz w:val="20"/>
                <w:szCs w:val="20"/>
                <w:lang w:bidi="ar"/>
              </w:rPr>
              <w:t>4000</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hint="eastAsia" w:ascii="Times New Roman" w:hAnsi="Times New Roman" w:eastAsia="仿宋_GB2312" w:cs="Times New Roman"/>
                <w:b w:val="0"/>
                <w:i w:val="0"/>
                <w:caps w:val="0"/>
                <w:color w:val="000000"/>
                <w:spacing w:val="0"/>
                <w:w w:val="100"/>
                <w:kern w:val="0"/>
                <w:sz w:val="20"/>
                <w:szCs w:val="20"/>
                <w:lang w:bidi="ar"/>
              </w:rPr>
              <w:t>元</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hint="eastAsia" w:ascii="Times New Roman" w:hAnsi="Times New Roman" w:eastAsia="仿宋_GB2312" w:cs="Times New Roman"/>
                <w:b w:val="0"/>
                <w:i w:val="0"/>
                <w:caps w:val="0"/>
                <w:color w:val="000000"/>
                <w:spacing w:val="0"/>
                <w:w w:val="100"/>
                <w:sz w:val="20"/>
                <w:szCs w:val="20"/>
              </w:rPr>
              <w:t>合同</w:t>
            </w:r>
          </w:p>
        </w:tc>
      </w:tr>
      <w:tr>
        <w:tblPrEx>
          <w:tblCellMar>
            <w:top w:w="0" w:type="dxa"/>
            <w:left w:w="108" w:type="dxa"/>
            <w:bottom w:w="0" w:type="dxa"/>
            <w:right w:w="108" w:type="dxa"/>
          </w:tblCellMar>
        </w:tblPrEx>
        <w:trPr>
          <w:trHeight w:val="1050" w:hRule="atLeast"/>
        </w:trPr>
        <w:tc>
          <w:tcPr>
            <w:tcW w:w="1080" w:type="dxa"/>
            <w:vMerge w:val="restart"/>
            <w:tcBorders>
              <w:top w:val="single" w:color="auto" w:sz="4" w:space="0"/>
              <w:left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部门效果</w:t>
            </w:r>
          </w:p>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restart"/>
            <w:tcBorders>
              <w:top w:val="single" w:color="auto" w:sz="4" w:space="0"/>
              <w:left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社会效益</w:t>
            </w:r>
          </w:p>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筛选出优良品种资源数量</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全部完成得满分，每减少1个扣除权重分的10%</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反映</w:t>
            </w:r>
            <w:r>
              <w:rPr>
                <w:rFonts w:hint="eastAsia" w:ascii="Times New Roman" w:hAnsi="Times New Roman" w:eastAsia="仿宋_GB2312" w:cs="Times New Roman"/>
                <w:b w:val="0"/>
                <w:i w:val="0"/>
                <w:caps w:val="0"/>
                <w:color w:val="000000"/>
                <w:spacing w:val="0"/>
                <w:w w:val="100"/>
                <w:kern w:val="0"/>
                <w:sz w:val="20"/>
                <w:szCs w:val="20"/>
                <w:lang w:bidi="ar"/>
              </w:rPr>
              <w:t>研究项目</w:t>
            </w:r>
            <w:r>
              <w:rPr>
                <w:rFonts w:ascii="Times New Roman" w:hAnsi="Times New Roman" w:eastAsia="仿宋_GB2312" w:cs="Times New Roman"/>
                <w:b w:val="0"/>
                <w:i w:val="0"/>
                <w:caps w:val="0"/>
                <w:color w:val="000000"/>
                <w:spacing w:val="0"/>
                <w:w w:val="100"/>
                <w:kern w:val="0"/>
                <w:sz w:val="20"/>
                <w:szCs w:val="20"/>
                <w:lang w:bidi="ar"/>
              </w:rPr>
              <w:t>筛选出优良品种资源数量情况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1</w:t>
            </w:r>
            <w:r>
              <w:rPr>
                <w:rFonts w:hint="eastAsia" w:ascii="Times New Roman" w:hAnsi="Times New Roman" w:eastAsia="宋体" w:cs="Times New Roman"/>
                <w:b w:val="0"/>
                <w:i w:val="0"/>
                <w:caps w:val="0"/>
                <w:color w:val="000000"/>
                <w:spacing w:val="0"/>
                <w:w w:val="100"/>
                <w:kern w:val="0"/>
                <w:sz w:val="20"/>
                <w:szCs w:val="20"/>
                <w:lang w:bidi="ar"/>
              </w:rPr>
              <w:t>7</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计划标准</w:t>
            </w:r>
          </w:p>
        </w:tc>
      </w:tr>
      <w:tr>
        <w:tblPrEx>
          <w:tblCellMar>
            <w:top w:w="0" w:type="dxa"/>
            <w:left w:w="108" w:type="dxa"/>
            <w:bottom w:w="0" w:type="dxa"/>
            <w:right w:w="108" w:type="dxa"/>
          </w:tblCellMar>
        </w:tblPrEx>
        <w:trPr>
          <w:trHeight w:val="1240" w:hRule="atLeast"/>
        </w:trPr>
        <w:tc>
          <w:tcPr>
            <w:tcW w:w="1080" w:type="dxa"/>
            <w:vMerge w:val="continue"/>
            <w:tcBorders>
              <w:left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left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both"/>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培训指导农户人数</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全部完成得满分，每减少1</w:t>
            </w:r>
            <w:r>
              <w:rPr>
                <w:rFonts w:hint="eastAsia" w:ascii="Times New Roman" w:hAnsi="Times New Roman" w:eastAsia="仿宋_GB2312" w:cs="Times New Roman"/>
                <w:b w:val="0"/>
                <w:i w:val="0"/>
                <w:caps w:val="0"/>
                <w:color w:val="000000"/>
                <w:spacing w:val="0"/>
                <w:w w:val="100"/>
                <w:kern w:val="0"/>
                <w:sz w:val="20"/>
                <w:szCs w:val="20"/>
                <w:lang w:bidi="ar"/>
              </w:rPr>
              <w:t>0</w:t>
            </w:r>
            <w:r>
              <w:rPr>
                <w:rFonts w:ascii="Times New Roman" w:hAnsi="Times New Roman" w:eastAsia="仿宋_GB2312" w:cs="Times New Roman"/>
                <w:b w:val="0"/>
                <w:i w:val="0"/>
                <w:caps w:val="0"/>
                <w:color w:val="000000"/>
                <w:spacing w:val="0"/>
                <w:w w:val="100"/>
                <w:kern w:val="0"/>
                <w:sz w:val="20"/>
                <w:szCs w:val="20"/>
                <w:lang w:bidi="ar"/>
              </w:rPr>
              <w:t>个，扣权重分的10%</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主要考核接受技术指导培训的农户人数情况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20</w:t>
            </w:r>
            <w:r>
              <w:rPr>
                <w:rFonts w:hint="eastAsia" w:ascii="Times New Roman" w:hAnsi="Times New Roman" w:eastAsia="仿宋_GB2312" w:cs="Times New Roman"/>
                <w:b w:val="0"/>
                <w:i w:val="0"/>
                <w:caps w:val="0"/>
                <w:color w:val="000000"/>
                <w:spacing w:val="0"/>
                <w:w w:val="100"/>
                <w:kern w:val="0"/>
                <w:sz w:val="20"/>
                <w:szCs w:val="20"/>
                <w:lang w:bidi="ar"/>
              </w:rPr>
              <w:t>0</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hint="eastAsia" w:ascii="Times New Roman" w:hAnsi="Times New Roman" w:eastAsia="仿宋_GB2312" w:cs="Times New Roman"/>
                <w:b w:val="0"/>
                <w:i w:val="0"/>
                <w:caps w:val="0"/>
                <w:color w:val="000000"/>
                <w:spacing w:val="0"/>
                <w:w w:val="100"/>
                <w:sz w:val="20"/>
                <w:szCs w:val="20"/>
              </w:rPr>
              <w:t>人</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计划标准</w:t>
            </w:r>
          </w:p>
        </w:tc>
      </w:tr>
      <w:tr>
        <w:tblPrEx>
          <w:tblCellMar>
            <w:top w:w="0" w:type="dxa"/>
            <w:left w:w="108" w:type="dxa"/>
            <w:bottom w:w="0" w:type="dxa"/>
            <w:right w:w="108" w:type="dxa"/>
          </w:tblCellMar>
        </w:tblPrEx>
        <w:trPr>
          <w:trHeight w:val="720" w:hRule="atLeast"/>
        </w:trPr>
        <w:tc>
          <w:tcPr>
            <w:tcW w:w="1080" w:type="dxa"/>
            <w:vMerge w:val="continue"/>
            <w:tcBorders>
              <w:left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编制或发表技术规程、论文数量</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全部完成得满分，每减少1篇，扣权重分</w:t>
            </w:r>
            <w:r>
              <w:rPr>
                <w:rFonts w:hint="eastAsia" w:ascii="Times New Roman" w:hAnsi="Times New Roman" w:eastAsia="仿宋_GB2312" w:cs="Times New Roman"/>
                <w:b w:val="0"/>
                <w:i w:val="0"/>
                <w:caps w:val="0"/>
                <w:color w:val="000000"/>
                <w:spacing w:val="0"/>
                <w:w w:val="100"/>
                <w:kern w:val="0"/>
                <w:sz w:val="20"/>
                <w:szCs w:val="20"/>
                <w:lang w:bidi="ar"/>
              </w:rPr>
              <w:t>的2</w:t>
            </w:r>
            <w:r>
              <w:rPr>
                <w:rFonts w:ascii="Times New Roman" w:hAnsi="Times New Roman" w:eastAsia="仿宋_GB2312" w:cs="Times New Roman"/>
                <w:b w:val="0"/>
                <w:i w:val="0"/>
                <w:caps w:val="0"/>
                <w:color w:val="000000"/>
                <w:spacing w:val="0"/>
                <w:w w:val="100"/>
                <w:kern w:val="0"/>
                <w:sz w:val="20"/>
                <w:szCs w:val="20"/>
                <w:lang w:bidi="ar"/>
              </w:rPr>
              <w:t>0%</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反映通过项目开展撰写技术规程或发表论文情况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hint="eastAsia" w:ascii="Times New Roman" w:hAnsi="Times New Roman" w:eastAsia="仿宋_GB2312" w:cs="Times New Roman"/>
                <w:b w:val="0"/>
                <w:i w:val="0"/>
                <w:caps w:val="0"/>
                <w:color w:val="000000"/>
                <w:spacing w:val="0"/>
                <w:w w:val="100"/>
                <w:sz w:val="20"/>
                <w:szCs w:val="20"/>
              </w:rPr>
              <w:t>5</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计划标准</w:t>
            </w:r>
          </w:p>
        </w:tc>
      </w:tr>
      <w:tr>
        <w:tblPrEx>
          <w:tblCellMar>
            <w:top w:w="0" w:type="dxa"/>
            <w:left w:w="108" w:type="dxa"/>
            <w:bottom w:w="0" w:type="dxa"/>
            <w:right w:w="108" w:type="dxa"/>
          </w:tblCellMar>
        </w:tblPrEx>
        <w:trPr>
          <w:trHeight w:val="720" w:hRule="atLeast"/>
        </w:trPr>
        <w:tc>
          <w:tcPr>
            <w:tcW w:w="1080" w:type="dxa"/>
            <w:vMerge w:val="continue"/>
            <w:tcBorders>
              <w:left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hint="eastAsia" w:ascii="Times New Roman" w:hAnsi="Times New Roman" w:eastAsia="仿宋_GB2312" w:cs="Times New Roman"/>
                <w:b w:val="0"/>
                <w:i w:val="0"/>
                <w:caps w:val="0"/>
                <w:color w:val="000000"/>
                <w:spacing w:val="0"/>
                <w:w w:val="100"/>
                <w:sz w:val="20"/>
                <w:szCs w:val="20"/>
              </w:rPr>
              <w:t>开展实验品种数量</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hint="eastAsia" w:ascii="Times New Roman" w:hAnsi="Times New Roman" w:eastAsia="仿宋_GB2312" w:cs="Times New Roman"/>
                <w:b w:val="0"/>
                <w:i w:val="0"/>
                <w:caps w:val="0"/>
                <w:color w:val="000000"/>
                <w:spacing w:val="0"/>
                <w:w w:val="100"/>
                <w:sz w:val="20"/>
                <w:szCs w:val="20"/>
              </w:rPr>
              <w:t>每减少</w:t>
            </w:r>
            <w:r>
              <w:rPr>
                <w:rFonts w:ascii="Times New Roman" w:hAnsi="Times New Roman" w:eastAsia="仿宋_GB2312" w:cs="Times New Roman"/>
                <w:b w:val="0"/>
                <w:i w:val="0"/>
                <w:caps w:val="0"/>
                <w:color w:val="000000"/>
                <w:spacing w:val="0"/>
                <w:w w:val="100"/>
                <w:sz w:val="20"/>
                <w:szCs w:val="20"/>
              </w:rPr>
              <w:t>2</w:t>
            </w:r>
            <w:r>
              <w:rPr>
                <w:rFonts w:hint="eastAsia" w:ascii="Times New Roman" w:hAnsi="Times New Roman" w:eastAsia="仿宋_GB2312" w:cs="Times New Roman"/>
                <w:b w:val="0"/>
                <w:i w:val="0"/>
                <w:caps w:val="0"/>
                <w:color w:val="000000"/>
                <w:spacing w:val="0"/>
                <w:w w:val="100"/>
                <w:sz w:val="20"/>
                <w:szCs w:val="20"/>
              </w:rPr>
              <w:t>个扣权重分的</w:t>
            </w:r>
            <w:r>
              <w:rPr>
                <w:rFonts w:ascii="Times New Roman" w:hAnsi="Times New Roman" w:eastAsia="仿宋_GB2312" w:cs="Times New Roman"/>
                <w:b w:val="0"/>
                <w:i w:val="0"/>
                <w:caps w:val="0"/>
                <w:color w:val="000000"/>
                <w:spacing w:val="0"/>
                <w:w w:val="100"/>
                <w:sz w:val="20"/>
                <w:szCs w:val="20"/>
              </w:rPr>
              <w:t>5%</w:t>
            </w:r>
            <w:r>
              <w:rPr>
                <w:rFonts w:hint="eastAsia" w:ascii="Times New Roman" w:hAnsi="Times New Roman" w:eastAsia="仿宋_GB2312" w:cs="Times New Roman"/>
                <w:b w:val="0"/>
                <w:i w:val="0"/>
                <w:caps w:val="0"/>
                <w:color w:val="000000"/>
                <w:spacing w:val="0"/>
                <w:w w:val="100"/>
                <w:sz w:val="20"/>
                <w:szCs w:val="20"/>
              </w:rPr>
              <w:t>，低于30个不得分</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hint="eastAsia" w:ascii="Times New Roman" w:hAnsi="Times New Roman" w:eastAsia="仿宋_GB2312" w:cs="Times New Roman"/>
                <w:b w:val="0"/>
                <w:i w:val="0"/>
                <w:caps w:val="0"/>
                <w:color w:val="000000"/>
                <w:spacing w:val="0"/>
                <w:w w:val="100"/>
                <w:sz w:val="20"/>
                <w:szCs w:val="20"/>
              </w:rPr>
              <w:t>基地开展实验品种数量</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hint="eastAsia" w:ascii="Times New Roman" w:hAnsi="Times New Roman" w:eastAsia="仿宋_GB2312" w:cs="Times New Roman"/>
                <w:b w:val="0"/>
                <w:i w:val="0"/>
                <w:caps w:val="0"/>
                <w:color w:val="000000"/>
                <w:spacing w:val="0"/>
                <w:w w:val="100"/>
                <w:sz w:val="20"/>
                <w:szCs w:val="20"/>
              </w:rPr>
              <w:t>50</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hint="eastAsia" w:ascii="Times New Roman" w:hAnsi="Times New Roman" w:eastAsia="仿宋_GB2312" w:cs="Times New Roman"/>
                <w:b w:val="0"/>
                <w:i w:val="0"/>
                <w:caps w:val="0"/>
                <w:color w:val="000000"/>
                <w:spacing w:val="0"/>
                <w:w w:val="100"/>
                <w:sz w:val="20"/>
                <w:szCs w:val="20"/>
              </w:rPr>
              <w:t>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计划标准</w:t>
            </w:r>
          </w:p>
        </w:tc>
      </w:tr>
      <w:tr>
        <w:tblPrEx>
          <w:tblCellMar>
            <w:top w:w="0" w:type="dxa"/>
            <w:left w:w="108" w:type="dxa"/>
            <w:bottom w:w="0" w:type="dxa"/>
            <w:right w:w="108" w:type="dxa"/>
          </w:tblCellMar>
        </w:tblPrEx>
        <w:trPr>
          <w:trHeight w:val="1412" w:hRule="atLeast"/>
        </w:trPr>
        <w:tc>
          <w:tcPr>
            <w:tcW w:w="1080" w:type="dxa"/>
            <w:vMerge w:val="continue"/>
            <w:tcBorders>
              <w:left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restart"/>
            <w:tcBorders>
              <w:top w:val="single" w:color="auto" w:sz="4" w:space="0"/>
              <w:left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经济效益</w:t>
            </w: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both"/>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亩收益增长率</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全部完成得满分，每减少1%，扣权重分</w:t>
            </w:r>
            <w:r>
              <w:rPr>
                <w:rFonts w:hint="eastAsia" w:ascii="Times New Roman" w:hAnsi="Times New Roman" w:eastAsia="仿宋_GB2312" w:cs="Times New Roman"/>
                <w:b w:val="0"/>
                <w:i w:val="0"/>
                <w:caps w:val="0"/>
                <w:color w:val="000000"/>
                <w:spacing w:val="0"/>
                <w:w w:val="100"/>
                <w:kern w:val="0"/>
                <w:sz w:val="20"/>
                <w:szCs w:val="20"/>
                <w:lang w:bidi="ar"/>
              </w:rPr>
              <w:t>的</w:t>
            </w:r>
            <w:r>
              <w:rPr>
                <w:rFonts w:ascii="Times New Roman" w:hAnsi="Times New Roman" w:eastAsia="仿宋_GB2312" w:cs="Times New Roman"/>
                <w:b w:val="0"/>
                <w:i w:val="0"/>
                <w:caps w:val="0"/>
                <w:color w:val="000000"/>
                <w:spacing w:val="0"/>
                <w:w w:val="100"/>
                <w:kern w:val="0"/>
                <w:sz w:val="20"/>
                <w:szCs w:val="20"/>
                <w:lang w:bidi="ar"/>
              </w:rPr>
              <w:t>10%</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主要考核研究、示范项目的平均收益增收比率情况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微软雅黑" w:cs="Times New Roman"/>
                <w:b w:val="0"/>
                <w:i w:val="0"/>
                <w:caps w:val="0"/>
                <w:color w:val="000000"/>
                <w:spacing w:val="0"/>
                <w:w w:val="100"/>
                <w:sz w:val="20"/>
                <w:szCs w:val="20"/>
              </w:rPr>
            </w:pPr>
            <w:r>
              <w:rPr>
                <w:rFonts w:ascii="Times New Roman" w:hAnsi="Times New Roman" w:eastAsia="微软雅黑"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1</w:t>
            </w:r>
            <w:r>
              <w:rPr>
                <w:rFonts w:hint="eastAsia" w:ascii="Times New Roman" w:hAnsi="Times New Roman" w:eastAsia="宋体" w:cs="Times New Roman"/>
                <w:b w:val="0"/>
                <w:i w:val="0"/>
                <w:caps w:val="0"/>
                <w:color w:val="000000"/>
                <w:spacing w:val="0"/>
                <w:w w:val="100"/>
                <w:kern w:val="0"/>
                <w:sz w:val="20"/>
                <w:szCs w:val="20"/>
                <w:lang w:bidi="ar"/>
              </w:rPr>
              <w:t>5</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计划标准</w:t>
            </w:r>
          </w:p>
        </w:tc>
      </w:tr>
      <w:tr>
        <w:tblPrEx>
          <w:tblCellMar>
            <w:top w:w="0" w:type="dxa"/>
            <w:left w:w="108" w:type="dxa"/>
            <w:bottom w:w="0" w:type="dxa"/>
            <w:right w:w="108" w:type="dxa"/>
          </w:tblCellMar>
        </w:tblPrEx>
        <w:trPr>
          <w:trHeight w:val="960" w:hRule="atLeast"/>
        </w:trPr>
        <w:tc>
          <w:tcPr>
            <w:tcW w:w="1080" w:type="dxa"/>
            <w:vMerge w:val="continue"/>
            <w:tcBorders>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农药节约率</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全部完成得满分，每减少1%，扣权重分10%</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kern w:val="0"/>
                <w:sz w:val="20"/>
                <w:szCs w:val="20"/>
                <w:lang w:bidi="ar"/>
              </w:rPr>
            </w:pPr>
            <w:r>
              <w:rPr>
                <w:rFonts w:hint="eastAsia" w:ascii="Times New Roman" w:hAnsi="Times New Roman" w:eastAsia="仿宋_GB2312" w:cs="Times New Roman"/>
                <w:b w:val="0"/>
                <w:i w:val="0"/>
                <w:caps w:val="0"/>
                <w:color w:val="000000"/>
                <w:spacing w:val="0"/>
                <w:w w:val="100"/>
                <w:kern w:val="0"/>
                <w:sz w:val="20"/>
                <w:szCs w:val="20"/>
                <w:lang w:bidi="ar"/>
              </w:rPr>
              <w:t>主要考核甘薯</w:t>
            </w:r>
            <w:r>
              <w:rPr>
                <w:rFonts w:ascii="Times New Roman" w:hAnsi="Times New Roman" w:eastAsia="仿宋_GB2312" w:cs="Times New Roman"/>
                <w:b w:val="0"/>
                <w:i w:val="0"/>
                <w:caps w:val="0"/>
                <w:color w:val="000000"/>
                <w:spacing w:val="0"/>
                <w:w w:val="100"/>
                <w:kern w:val="0"/>
                <w:sz w:val="20"/>
                <w:szCs w:val="20"/>
                <w:lang w:bidi="ar"/>
              </w:rPr>
              <w:t>细菌、病毒研究项目的农药节约率情况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微软雅黑"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hint="eastAsia" w:ascii="Times New Roman" w:hAnsi="Times New Roman" w:eastAsia="仿宋_GB2312" w:cs="Times New Roman"/>
                <w:b w:val="0"/>
                <w:i w:val="0"/>
                <w:caps w:val="0"/>
                <w:color w:val="000000"/>
                <w:spacing w:val="0"/>
                <w:w w:val="100"/>
                <w:sz w:val="20"/>
                <w:szCs w:val="20"/>
              </w:rPr>
              <w:t>10</w:t>
            </w:r>
          </w:p>
        </w:tc>
        <w:tc>
          <w:tcPr>
            <w:tcW w:w="6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hint="eastAsia" w:ascii="Times New Roman" w:hAnsi="Times New Roman" w:eastAsia="仿宋_GB2312" w:cs="Times New Roman"/>
                <w:b w:val="0"/>
                <w:i w:val="0"/>
                <w:caps w:val="0"/>
                <w:color w:val="000000"/>
                <w:spacing w:val="0"/>
                <w:w w:val="100"/>
                <w:kern w:val="0"/>
                <w:sz w:val="20"/>
                <w:szCs w:val="20"/>
                <w:lang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计划标准</w:t>
            </w:r>
          </w:p>
        </w:tc>
      </w:tr>
      <w:tr>
        <w:tblPrEx>
          <w:tblCellMar>
            <w:top w:w="0" w:type="dxa"/>
            <w:left w:w="108" w:type="dxa"/>
            <w:bottom w:w="0" w:type="dxa"/>
            <w:right w:w="108" w:type="dxa"/>
          </w:tblCellMar>
        </w:tblPrEx>
        <w:trPr>
          <w:trHeight w:val="960" w:hRule="atLeast"/>
        </w:trPr>
        <w:tc>
          <w:tcPr>
            <w:tcW w:w="1080" w:type="dxa"/>
            <w:vMerge w:val="continue"/>
            <w:tcBorders>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hint="eastAsia" w:ascii="Times New Roman" w:hAnsi="Times New Roman" w:eastAsia="仿宋_GB2312" w:cs="Times New Roman"/>
                <w:b w:val="0"/>
                <w:i w:val="0"/>
                <w:caps w:val="0"/>
                <w:color w:val="000000"/>
                <w:spacing w:val="0"/>
                <w:w w:val="100"/>
                <w:kern w:val="0"/>
                <w:sz w:val="20"/>
                <w:szCs w:val="20"/>
                <w:lang w:bidi="ar"/>
              </w:rPr>
              <w:t>生态效益</w:t>
            </w: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both"/>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经济林绿化面积数量</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全部完成得满分，否则不得分</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增加本市林木绿化面积数量情况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微软雅黑"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kern w:val="0"/>
                <w:sz w:val="20"/>
                <w:szCs w:val="20"/>
                <w:lang w:bidi="ar"/>
              </w:rPr>
            </w:pPr>
            <w:r>
              <w:rPr>
                <w:rFonts w:hint="eastAsia" w:ascii="Times New Roman" w:hAnsi="Times New Roman" w:eastAsia="宋体" w:cs="Times New Roman"/>
                <w:b w:val="0"/>
                <w:i w:val="0"/>
                <w:caps w:val="0"/>
                <w:color w:val="000000"/>
                <w:spacing w:val="0"/>
                <w:w w:val="100"/>
                <w:kern w:val="0"/>
                <w:sz w:val="20"/>
                <w:szCs w:val="20"/>
                <w:lang w:bidi="ar"/>
              </w:rPr>
              <w:t>5</w:t>
            </w:r>
          </w:p>
        </w:tc>
        <w:tc>
          <w:tcPr>
            <w:tcW w:w="6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kern w:val="0"/>
                <w:sz w:val="20"/>
                <w:szCs w:val="20"/>
                <w:lang w:bidi="ar"/>
              </w:rPr>
            </w:pPr>
            <w:r>
              <w:rPr>
                <w:rFonts w:hint="eastAsia" w:ascii="Times New Roman" w:hAnsi="Times New Roman" w:eastAsia="宋体" w:cs="Times New Roman"/>
                <w:b w:val="0"/>
                <w:i w:val="0"/>
                <w:caps w:val="0"/>
                <w:color w:val="000000"/>
                <w:spacing w:val="0"/>
                <w:w w:val="100"/>
                <w:kern w:val="0"/>
                <w:sz w:val="20"/>
                <w:szCs w:val="20"/>
                <w:lang w:bidi="ar"/>
              </w:rPr>
              <w:t>亩</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hint="eastAsia" w:ascii="Times New Roman" w:hAnsi="Times New Roman" w:eastAsia="仿宋_GB2312" w:cs="Times New Roman"/>
                <w:b w:val="0"/>
                <w:i w:val="0"/>
                <w:caps w:val="0"/>
                <w:color w:val="000000"/>
                <w:spacing w:val="0"/>
                <w:w w:val="100"/>
                <w:sz w:val="20"/>
                <w:szCs w:val="20"/>
              </w:rPr>
              <w:t>计划标准</w:t>
            </w:r>
          </w:p>
        </w:tc>
      </w:tr>
      <w:tr>
        <w:tblPrEx>
          <w:tblCellMar>
            <w:top w:w="0" w:type="dxa"/>
            <w:left w:w="108" w:type="dxa"/>
            <w:bottom w:w="0" w:type="dxa"/>
            <w:right w:w="108" w:type="dxa"/>
          </w:tblCellMar>
        </w:tblPrEx>
        <w:trPr>
          <w:trHeight w:val="960" w:hRule="atLeast"/>
        </w:trPr>
        <w:tc>
          <w:tcPr>
            <w:tcW w:w="1080" w:type="dxa"/>
            <w:vMerge w:val="continue"/>
            <w:tcBorders>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满意度</w:t>
            </w: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both"/>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项目联查人员及示范、培训用户满意度</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全部完成得满分，否则不得分</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考核项目联查人员及示范培训用户满意度情况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微软雅黑" w:cs="Times New Roman"/>
                <w:b w:val="0"/>
                <w:i w:val="0"/>
                <w:caps w:val="0"/>
                <w:color w:val="000000"/>
                <w:spacing w:val="0"/>
                <w:w w:val="100"/>
                <w:sz w:val="20"/>
                <w:szCs w:val="20"/>
              </w:rPr>
            </w:pPr>
            <w:r>
              <w:rPr>
                <w:rFonts w:ascii="Times New Roman" w:hAnsi="Times New Roman" w:eastAsia="微软雅黑"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90</w:t>
            </w:r>
          </w:p>
        </w:tc>
        <w:tc>
          <w:tcPr>
            <w:tcW w:w="6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计划标准</w:t>
            </w:r>
          </w:p>
        </w:tc>
      </w:tr>
    </w:tbl>
    <w:p>
      <w:pPr>
        <w:numPr>
          <w:ilvl w:val="0"/>
          <w:numId w:val="0"/>
        </w:numPr>
        <w:overflowPunct w:val="0"/>
        <w:adjustRightInd w:val="0"/>
        <w:snapToGrid w:val="0"/>
        <w:spacing w:after="156" w:afterLines="50" w:line="580" w:lineRule="exact"/>
        <w:jc w:val="left"/>
        <w:rPr>
          <w:rFonts w:hint="default" w:ascii="楷体_GB2312" w:eastAsia="楷体_GB2312" w:cs="Times New Roman"/>
          <w:b/>
          <w:sz w:val="32"/>
          <w:szCs w:val="32"/>
          <w:lang w:val="en-US" w:eastAsia="zh-CN"/>
        </w:rPr>
      </w:pPr>
    </w:p>
    <w:p>
      <w:pPr>
        <w:spacing w:line="584" w:lineRule="exact"/>
        <w:rPr>
          <w:rFonts w:ascii="仿宋_GB2312" w:eastAsia="仿宋_GB2312" w:cs="Times New Roman"/>
          <w:sz w:val="32"/>
          <w:szCs w:val="32"/>
        </w:rPr>
      </w:pPr>
    </w:p>
    <w:p>
      <w:pPr>
        <w:pStyle w:val="2"/>
        <w:rPr>
          <w:rFonts w:ascii="仿宋_GB2312" w:eastAsia="仿宋_GB2312" w:cs="Times New Roman"/>
          <w:sz w:val="32"/>
          <w:szCs w:val="32"/>
        </w:rPr>
      </w:pPr>
    </w:p>
    <w:p>
      <w:pPr>
        <w:rPr>
          <w:rFonts w:ascii="仿宋_GB2312" w:eastAsia="仿宋_GB2312" w:cs="Times New Roman"/>
          <w:sz w:val="32"/>
          <w:szCs w:val="32"/>
        </w:rPr>
      </w:pPr>
    </w:p>
    <w:p>
      <w:pPr>
        <w:pStyle w:val="2"/>
        <w:rPr>
          <w:rFonts w:ascii="仿宋_GB2312" w:eastAsia="仿宋_GB2312" w:cs="Times New Roman"/>
          <w:sz w:val="32"/>
          <w:szCs w:val="32"/>
        </w:rPr>
      </w:pPr>
    </w:p>
    <w:p>
      <w:pPr>
        <w:rPr>
          <w:rFonts w:ascii="仿宋_GB2312" w:eastAsia="仿宋_GB2312" w:cs="Times New Roman"/>
          <w:sz w:val="32"/>
          <w:szCs w:val="32"/>
        </w:rPr>
      </w:pPr>
    </w:p>
    <w:p>
      <w:pPr>
        <w:pStyle w:val="2"/>
      </w:pPr>
    </w:p>
    <w:p>
      <w:pPr>
        <w:pStyle w:val="2"/>
        <w:rPr>
          <w:rFonts w:ascii="仿宋_GB2312" w:eastAsia="仿宋_GB2312" w:cs="Times New Roman"/>
          <w:sz w:val="32"/>
          <w:szCs w:val="32"/>
        </w:rPr>
      </w:pPr>
    </w:p>
    <w:p/>
    <w:p>
      <w:pPr>
        <w:widowControl w:val="0"/>
        <w:numPr>
          <w:ilvl w:val="0"/>
          <w:numId w:val="0"/>
        </w:numPr>
        <w:spacing w:line="584" w:lineRule="exact"/>
        <w:jc w:val="both"/>
        <w:rPr>
          <w:rFonts w:hint="eastAsia" w:ascii="Times New Roman" w:hAnsi="Times New Roman" w:eastAsia="黑体" w:cs="Times New Roman"/>
          <w:sz w:val="32"/>
          <w:szCs w:val="32"/>
        </w:rPr>
      </w:pPr>
    </w:p>
    <w:p>
      <w:pPr>
        <w:numPr>
          <w:ilvl w:val="0"/>
          <w:numId w:val="0"/>
        </w:numPr>
        <w:spacing w:line="584" w:lineRule="exact"/>
        <w:rPr>
          <w:rFonts w:hint="eastAsia" w:ascii="Times New Roman" w:hAnsi="Times New Roman" w:eastAsia="黑体" w:cs="Times New Roman"/>
          <w:sz w:val="32"/>
          <w:szCs w:val="32"/>
        </w:rPr>
      </w:pPr>
    </w:p>
    <w:p>
      <w:pPr>
        <w:numPr>
          <w:ilvl w:val="0"/>
          <w:numId w:val="0"/>
        </w:numPr>
        <w:spacing w:line="584" w:lineRule="exact"/>
        <w:rPr>
          <w:rFonts w:hint="eastAsia" w:ascii="Times New Roman" w:hAnsi="Times New Roman" w:eastAsia="黑体" w:cs="Times New Roman"/>
          <w:sz w:val="32"/>
          <w:szCs w:val="32"/>
        </w:rPr>
      </w:pPr>
    </w:p>
    <w:p>
      <w:pPr>
        <w:numPr>
          <w:ilvl w:val="0"/>
          <w:numId w:val="0"/>
        </w:numPr>
        <w:spacing w:line="584" w:lineRule="exact"/>
        <w:rPr>
          <w:rFonts w:hint="eastAsia" w:ascii="Times New Roman" w:hAnsi="Times New Roman" w:eastAsia="黑体" w:cs="Times New Roman"/>
          <w:sz w:val="32"/>
          <w:szCs w:val="32"/>
        </w:rPr>
      </w:pPr>
    </w:p>
    <w:p>
      <w:pPr>
        <w:numPr>
          <w:ilvl w:val="0"/>
          <w:numId w:val="0"/>
        </w:numPr>
        <w:spacing w:line="584" w:lineRule="exact"/>
        <w:rPr>
          <w:rFonts w:hint="eastAsia" w:ascii="Times New Roman" w:hAnsi="Times New Roman" w:eastAsia="黑体" w:cs="Times New Roman"/>
          <w:sz w:val="32"/>
          <w:szCs w:val="32"/>
        </w:rPr>
      </w:pPr>
    </w:p>
    <w:p>
      <w:pPr>
        <w:numPr>
          <w:ilvl w:val="0"/>
          <w:numId w:val="0"/>
        </w:numPr>
        <w:spacing w:line="584" w:lineRule="exact"/>
        <w:rPr>
          <w:rFonts w:hint="eastAsia" w:ascii="Times New Roman" w:hAnsi="Times New Roman" w:eastAsia="黑体" w:cs="Times New Roman"/>
          <w:sz w:val="32"/>
          <w:szCs w:val="32"/>
        </w:rPr>
      </w:pPr>
    </w:p>
    <w:p>
      <w:pPr>
        <w:numPr>
          <w:ilvl w:val="0"/>
          <w:numId w:val="0"/>
        </w:numPr>
        <w:spacing w:line="584" w:lineRule="exact"/>
        <w:rPr>
          <w:rFonts w:hint="eastAsia" w:ascii="Times New Roman" w:hAnsi="Times New Roman" w:eastAsia="黑体" w:cs="Times New Roman"/>
          <w:sz w:val="32"/>
          <w:szCs w:val="32"/>
        </w:rPr>
      </w:pPr>
    </w:p>
    <w:p>
      <w:pPr>
        <w:numPr>
          <w:ilvl w:val="0"/>
          <w:numId w:val="0"/>
        </w:numPr>
        <w:spacing w:line="584" w:lineRule="exact"/>
        <w:rPr>
          <w:rFonts w:hint="eastAsia" w:ascii="Times New Roman" w:hAnsi="Times New Roman" w:eastAsia="黑体" w:cs="Times New Roman"/>
          <w:sz w:val="32"/>
          <w:szCs w:val="32"/>
        </w:rPr>
      </w:pPr>
    </w:p>
    <w:p>
      <w:pPr>
        <w:numPr>
          <w:ilvl w:val="0"/>
          <w:numId w:val="0"/>
        </w:numPr>
        <w:spacing w:line="584" w:lineRule="exact"/>
        <w:ind w:firstLine="1280" w:firstLineChars="400"/>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t>第</w:t>
      </w:r>
      <w:r>
        <w:rPr>
          <w:rFonts w:hint="eastAsia" w:ascii="Times New Roman" w:hAnsi="Times New Roman" w:eastAsia="黑体" w:cs="Times New Roman"/>
          <w:sz w:val="32"/>
          <w:szCs w:val="32"/>
          <w:lang w:eastAsia="zh-CN"/>
        </w:rPr>
        <w:t>二</w:t>
      </w:r>
      <w:r>
        <w:rPr>
          <w:rFonts w:hint="eastAsia" w:ascii="Times New Roman" w:hAnsi="Times New Roman" w:eastAsia="黑体" w:cs="Times New Roman"/>
          <w:sz w:val="32"/>
          <w:szCs w:val="32"/>
        </w:rPr>
        <w:t>部分</w:t>
      </w:r>
      <w:r>
        <w:rPr>
          <w:rFonts w:hint="eastAsia" w:ascii="Times New Roman" w:hAnsi="Times New Roman" w:eastAsia="黑体" w:cs="Times New Roman"/>
          <w:sz w:val="32"/>
          <w:szCs w:val="32"/>
          <w:lang w:val="en-US" w:eastAsia="zh-CN"/>
        </w:rPr>
        <w:t xml:space="preserve"> </w:t>
      </w:r>
      <w:r>
        <w:rPr>
          <w:rFonts w:hint="eastAsia" w:ascii="Times New Roman" w:hAnsi="Times New Roman" w:eastAsia="黑体" w:cs="Times New Roman"/>
          <w:sz w:val="32"/>
          <w:szCs w:val="32"/>
        </w:rPr>
        <w:t>资金绩效目标</w:t>
      </w:r>
    </w:p>
    <w:p>
      <w:pPr>
        <w:pStyle w:val="2"/>
        <w:rPr>
          <w:rFonts w:hint="eastAsia"/>
        </w:rPr>
      </w:pPr>
    </w:p>
    <w:p>
      <w:pPr>
        <w:ind w:firstLine="1400" w:firstLineChars="500"/>
        <w:jc w:val="left"/>
        <w:outlineLvl w:val="1"/>
        <w:rPr>
          <w:rFonts w:ascii="Times New Roman" w:hAnsi="Times New Roman" w:eastAsia="仿宋_GB2312" w:cs="Times New Roman"/>
          <w:sz w:val="28"/>
        </w:rPr>
      </w:pPr>
      <w:r>
        <w:rPr>
          <w:rFonts w:ascii="Times New Roman" w:hAnsi="Times New Roman" w:eastAsia="仿宋_GB2312" w:cs="Times New Roman"/>
          <w:sz w:val="28"/>
        </w:rPr>
        <w:t>1.农业科技综合服务运维项目绩效目标表</w:t>
      </w:r>
      <w:bookmarkStart w:id="0" w:name="_Toc29799657"/>
      <w:bookmarkEnd w:id="0"/>
    </w:p>
    <w:p>
      <w:pPr>
        <w:jc w:val="left"/>
        <w:outlineLvl w:val="1"/>
        <w:rPr>
          <w:rFonts w:ascii="Times New Roman" w:hAnsi="Times New Roman" w:eastAsia="仿宋_GB2312" w:cs="Times New Roman"/>
          <w:sz w:val="28"/>
        </w:rPr>
      </w:pPr>
    </w:p>
    <w:p>
      <w:pPr>
        <w:pStyle w:val="2"/>
        <w:rPr>
          <w:rFonts w:ascii="Times New Roman" w:hAnsi="Times New Roman" w:eastAsia="仿宋_GB2312" w:cs="Times New Roman"/>
          <w:sz w:val="28"/>
        </w:rPr>
      </w:pPr>
    </w:p>
    <w:tbl>
      <w:tblPr>
        <w:tblStyle w:val="11"/>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21"/>
              <w:jc w:val="left"/>
              <w:rPr>
                <w:rFonts w:ascii="Times New Roman" w:hAnsi="Times New Roman" w:cs="Times New Roman"/>
              </w:rPr>
            </w:pPr>
            <w:r>
              <w:rPr>
                <w:rFonts w:ascii="Times New Roman" w:hAnsi="Times New Roman" w:cs="Times New Roman"/>
              </w:rPr>
              <w:t>485001廊坊市农林科学院本级</w:t>
            </w:r>
          </w:p>
        </w:tc>
        <w:tc>
          <w:tcPr>
            <w:tcW w:w="1843" w:type="dxa"/>
            <w:tcBorders>
              <w:top w:val="single" w:color="FFFFFF" w:sz="6" w:space="0"/>
              <w:left w:val="single" w:color="FFFFFF" w:sz="6" w:space="0"/>
              <w:right w:val="single" w:color="FFFFFF" w:sz="6" w:space="0"/>
            </w:tcBorders>
            <w:vAlign w:val="center"/>
          </w:tcPr>
          <w:p>
            <w:pPr>
              <w:pStyle w:val="16"/>
              <w:jc w:val="center"/>
              <w:rPr>
                <w:rFonts w:ascii="Times New Roman" w:hAnsi="Times New Roman" w:cs="Times New Roman"/>
              </w:rPr>
            </w:pPr>
            <w:r>
              <w:rPr>
                <w:rFonts w:ascii="Times New Roman" w:hAnsi="Times New Roman" w:cs="Times New Roman"/>
              </w:rP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jc w:val="center"/>
              <w:rPr>
                <w:rFonts w:ascii="Times New Roman" w:hAnsi="Times New Roman" w:cs="Times New Roman"/>
              </w:rPr>
            </w:pPr>
            <w:r>
              <w:rPr>
                <w:rFonts w:ascii="Times New Roman" w:hAnsi="Times New Roman" w:cs="Times New Roman"/>
              </w:rPr>
              <w:t>项目编码</w:t>
            </w:r>
          </w:p>
        </w:tc>
        <w:tc>
          <w:tcPr>
            <w:tcW w:w="2608" w:type="dxa"/>
            <w:gridSpan w:val="2"/>
            <w:vAlign w:val="center"/>
          </w:tcPr>
          <w:p>
            <w:pPr>
              <w:pStyle w:val="17"/>
              <w:jc w:val="center"/>
              <w:rPr>
                <w:rFonts w:ascii="Times New Roman" w:hAnsi="Times New Roman" w:cs="Times New Roman"/>
              </w:rPr>
            </w:pPr>
            <w:r>
              <w:rPr>
                <w:rFonts w:ascii="Times New Roman" w:hAnsi="Times New Roman" w:cs="Times New Roman"/>
              </w:rPr>
              <w:t>13100023P003175100035</w:t>
            </w:r>
          </w:p>
        </w:tc>
        <w:tc>
          <w:tcPr>
            <w:tcW w:w="1587" w:type="dxa"/>
            <w:vAlign w:val="center"/>
          </w:tcPr>
          <w:p>
            <w:pPr>
              <w:pStyle w:val="15"/>
              <w:jc w:val="center"/>
              <w:rPr>
                <w:rFonts w:ascii="Times New Roman" w:hAnsi="Times New Roman" w:cs="Times New Roman"/>
              </w:rPr>
            </w:pPr>
            <w:r>
              <w:rPr>
                <w:rFonts w:ascii="Times New Roman" w:hAnsi="Times New Roman" w:cs="Times New Roman"/>
              </w:rPr>
              <w:t>项目名称</w:t>
            </w:r>
          </w:p>
        </w:tc>
        <w:tc>
          <w:tcPr>
            <w:tcW w:w="4422" w:type="dxa"/>
            <w:gridSpan w:val="3"/>
            <w:vAlign w:val="center"/>
          </w:tcPr>
          <w:p>
            <w:pPr>
              <w:pStyle w:val="17"/>
              <w:jc w:val="center"/>
              <w:rPr>
                <w:rFonts w:ascii="Times New Roman" w:hAnsi="Times New Roman" w:cs="Times New Roman"/>
              </w:rPr>
            </w:pPr>
            <w:r>
              <w:rPr>
                <w:rFonts w:ascii="Times New Roman" w:hAnsi="Times New Roman" w:cs="Times New Roman"/>
              </w:rPr>
              <w:t>农业科技综合服务运维项目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jc w:val="center"/>
              <w:rPr>
                <w:rFonts w:ascii="Times New Roman" w:hAnsi="Times New Roman" w:cs="Times New Roman"/>
              </w:rPr>
            </w:pPr>
            <w:r>
              <w:rPr>
                <w:rFonts w:ascii="Times New Roman" w:hAnsi="Times New Roman" w:cs="Times New Roman"/>
              </w:rPr>
              <w:t>预算规模及资金用途</w:t>
            </w:r>
          </w:p>
        </w:tc>
        <w:tc>
          <w:tcPr>
            <w:tcW w:w="1276" w:type="dxa"/>
            <w:vAlign w:val="center"/>
          </w:tcPr>
          <w:p>
            <w:pPr>
              <w:pStyle w:val="15"/>
              <w:jc w:val="center"/>
              <w:rPr>
                <w:rFonts w:ascii="Times New Roman" w:hAnsi="Times New Roman" w:cs="Times New Roman"/>
              </w:rPr>
            </w:pPr>
            <w:r>
              <w:rPr>
                <w:rFonts w:ascii="Times New Roman" w:hAnsi="Times New Roman" w:cs="Times New Roman"/>
              </w:rPr>
              <w:t>预算数</w:t>
            </w:r>
          </w:p>
        </w:tc>
        <w:tc>
          <w:tcPr>
            <w:tcW w:w="1332" w:type="dxa"/>
            <w:vAlign w:val="center"/>
          </w:tcPr>
          <w:p>
            <w:pPr>
              <w:pStyle w:val="17"/>
              <w:jc w:val="center"/>
              <w:rPr>
                <w:rFonts w:ascii="Times New Roman" w:hAnsi="Times New Roman" w:cs="Times New Roman"/>
              </w:rPr>
            </w:pPr>
            <w:r>
              <w:rPr>
                <w:rFonts w:ascii="Times New Roman" w:hAnsi="Times New Roman" w:cs="Times New Roman"/>
              </w:rPr>
              <w:t>47.92</w:t>
            </w:r>
          </w:p>
        </w:tc>
        <w:tc>
          <w:tcPr>
            <w:tcW w:w="1587" w:type="dxa"/>
            <w:vAlign w:val="center"/>
          </w:tcPr>
          <w:p>
            <w:pPr>
              <w:pStyle w:val="15"/>
              <w:jc w:val="center"/>
              <w:rPr>
                <w:rFonts w:ascii="Times New Roman" w:hAnsi="Times New Roman" w:cs="Times New Roman"/>
              </w:rPr>
            </w:pPr>
            <w:r>
              <w:rPr>
                <w:rFonts w:ascii="Times New Roman" w:hAnsi="Times New Roman" w:cs="Times New Roman"/>
              </w:rPr>
              <w:t>其中：财政    资金</w:t>
            </w:r>
          </w:p>
        </w:tc>
        <w:tc>
          <w:tcPr>
            <w:tcW w:w="1304" w:type="dxa"/>
            <w:vAlign w:val="center"/>
          </w:tcPr>
          <w:p>
            <w:pPr>
              <w:pStyle w:val="17"/>
              <w:jc w:val="center"/>
              <w:rPr>
                <w:rFonts w:ascii="Times New Roman" w:hAnsi="Times New Roman" w:cs="Times New Roman"/>
              </w:rPr>
            </w:pPr>
            <w:r>
              <w:rPr>
                <w:rFonts w:ascii="Times New Roman" w:hAnsi="Times New Roman" w:cs="Times New Roman"/>
              </w:rPr>
              <w:t>47.92</w:t>
            </w:r>
          </w:p>
        </w:tc>
        <w:tc>
          <w:tcPr>
            <w:tcW w:w="1276" w:type="dxa"/>
            <w:vAlign w:val="center"/>
          </w:tcPr>
          <w:p>
            <w:pPr>
              <w:pStyle w:val="15"/>
              <w:jc w:val="center"/>
              <w:rPr>
                <w:rFonts w:ascii="Times New Roman" w:hAnsi="Times New Roman" w:cs="Times New Roman"/>
              </w:rPr>
            </w:pPr>
            <w:r>
              <w:rPr>
                <w:rFonts w:ascii="Times New Roman" w:hAnsi="Times New Roman" w:cs="Times New Roman"/>
              </w:rPr>
              <w:t>其他资金</w:t>
            </w:r>
          </w:p>
        </w:tc>
        <w:tc>
          <w:tcPr>
            <w:tcW w:w="1843" w:type="dxa"/>
            <w:vAlign w:val="center"/>
          </w:tcPr>
          <w:p>
            <w:pPr>
              <w:pStyle w:val="17"/>
              <w:jc w:val="center"/>
              <w:rPr>
                <w:rFonts w:ascii="Times New Roman" w:hAnsi="Times New Roman" w:cs="Times New Roman"/>
              </w:rPr>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pPr>
              <w:jc w:val="center"/>
            </w:pPr>
          </w:p>
        </w:tc>
        <w:tc>
          <w:tcPr>
            <w:tcW w:w="8617" w:type="dxa"/>
            <w:gridSpan w:val="6"/>
            <w:vAlign w:val="center"/>
          </w:tcPr>
          <w:p>
            <w:pPr>
              <w:pStyle w:val="17"/>
              <w:jc w:val="center"/>
              <w:rPr>
                <w:rFonts w:ascii="Times New Roman" w:hAnsi="Times New Roman" w:cs="Times New Roman"/>
              </w:rPr>
            </w:pPr>
            <w:r>
              <w:rPr>
                <w:rFonts w:ascii="Times New Roman" w:hAnsi="Times New Roman" w:cs="Times New Roman"/>
              </w:rPr>
              <w:t>项目资金共计47.92万元，主要用于主要用于1、补充日常公用经费中材料印刷、法律咨询和网络维护费用的不足。2、180亩科研实验基地（潘场）和109亩科技成果示范基地（陈家务）两大基地公共区域的水、电、路等基础设施维护，绿化维护，设备检修和设施维护等运维管理费用。</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jc w:val="center"/>
              <w:rPr>
                <w:rFonts w:ascii="Times New Roman" w:hAnsi="Times New Roman" w:cs="Times New Roman"/>
              </w:rPr>
            </w:pPr>
            <w:r>
              <w:rPr>
                <w:rFonts w:ascii="Times New Roman" w:hAnsi="Times New Roman" w:cs="Times New Roman"/>
              </w:rPr>
              <w:t>资金支出计划（%）</w:t>
            </w:r>
          </w:p>
        </w:tc>
        <w:tc>
          <w:tcPr>
            <w:tcW w:w="2608" w:type="dxa"/>
            <w:gridSpan w:val="2"/>
            <w:vAlign w:val="center"/>
          </w:tcPr>
          <w:p>
            <w:pPr>
              <w:pStyle w:val="15"/>
              <w:jc w:val="center"/>
              <w:rPr>
                <w:rFonts w:ascii="Times New Roman" w:hAnsi="Times New Roman" w:cs="Times New Roman"/>
              </w:rPr>
            </w:pPr>
            <w:r>
              <w:rPr>
                <w:rFonts w:ascii="Times New Roman" w:hAnsi="Times New Roman" w:cs="Times New Roman"/>
              </w:rPr>
              <w:t>3月底</w:t>
            </w:r>
          </w:p>
        </w:tc>
        <w:tc>
          <w:tcPr>
            <w:tcW w:w="1587" w:type="dxa"/>
            <w:vAlign w:val="center"/>
          </w:tcPr>
          <w:p>
            <w:pPr>
              <w:pStyle w:val="15"/>
              <w:jc w:val="center"/>
              <w:rPr>
                <w:rFonts w:ascii="Times New Roman" w:hAnsi="Times New Roman" w:cs="Times New Roman"/>
              </w:rPr>
            </w:pPr>
            <w:r>
              <w:rPr>
                <w:rFonts w:ascii="Times New Roman" w:hAnsi="Times New Roman" w:cs="Times New Roman"/>
              </w:rPr>
              <w:t>6月底</w:t>
            </w:r>
          </w:p>
        </w:tc>
        <w:tc>
          <w:tcPr>
            <w:tcW w:w="1304" w:type="dxa"/>
            <w:vAlign w:val="center"/>
          </w:tcPr>
          <w:p>
            <w:pPr>
              <w:pStyle w:val="15"/>
              <w:jc w:val="center"/>
              <w:rPr>
                <w:rFonts w:ascii="Times New Roman" w:hAnsi="Times New Roman" w:cs="Times New Roman"/>
              </w:rPr>
            </w:pPr>
            <w:r>
              <w:rPr>
                <w:rFonts w:ascii="Times New Roman" w:hAnsi="Times New Roman" w:cs="Times New Roman"/>
              </w:rPr>
              <w:t>10月底</w:t>
            </w:r>
          </w:p>
        </w:tc>
        <w:tc>
          <w:tcPr>
            <w:tcW w:w="3118" w:type="dxa"/>
            <w:gridSpan w:val="2"/>
            <w:vAlign w:val="center"/>
          </w:tcPr>
          <w:p>
            <w:pPr>
              <w:pStyle w:val="15"/>
              <w:jc w:val="center"/>
              <w:rPr>
                <w:rFonts w:ascii="Times New Roman" w:hAnsi="Times New Roman" w:cs="Times New Roman"/>
              </w:rPr>
            </w:pPr>
            <w:r>
              <w:rPr>
                <w:rFonts w:ascii="Times New Roman" w:hAnsi="Times New Roman" w:cs="Times New Roman"/>
              </w:rP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pPr>
              <w:jc w:val="center"/>
            </w:pPr>
          </w:p>
        </w:tc>
        <w:tc>
          <w:tcPr>
            <w:tcW w:w="2608" w:type="dxa"/>
            <w:gridSpan w:val="2"/>
            <w:vAlign w:val="center"/>
          </w:tcPr>
          <w:p>
            <w:pPr>
              <w:pStyle w:val="18"/>
              <w:jc w:val="center"/>
              <w:rPr>
                <w:rFonts w:ascii="Times New Roman" w:hAnsi="Times New Roman" w:cs="Times New Roman"/>
              </w:rPr>
            </w:pPr>
            <w:r>
              <w:rPr>
                <w:rFonts w:ascii="Times New Roman" w:hAnsi="Times New Roman" w:cs="Times New Roman"/>
              </w:rPr>
              <w:t>30%</w:t>
            </w:r>
          </w:p>
        </w:tc>
        <w:tc>
          <w:tcPr>
            <w:tcW w:w="1587" w:type="dxa"/>
            <w:vAlign w:val="center"/>
          </w:tcPr>
          <w:p>
            <w:pPr>
              <w:pStyle w:val="18"/>
              <w:jc w:val="center"/>
              <w:rPr>
                <w:rFonts w:ascii="Times New Roman" w:hAnsi="Times New Roman" w:cs="Times New Roman"/>
              </w:rPr>
            </w:pPr>
            <w:r>
              <w:rPr>
                <w:rFonts w:ascii="Times New Roman" w:hAnsi="Times New Roman" w:cs="Times New Roman"/>
              </w:rPr>
              <w:t>60%</w:t>
            </w:r>
          </w:p>
        </w:tc>
        <w:tc>
          <w:tcPr>
            <w:tcW w:w="1304" w:type="dxa"/>
            <w:vAlign w:val="center"/>
          </w:tcPr>
          <w:p>
            <w:pPr>
              <w:pStyle w:val="18"/>
              <w:jc w:val="center"/>
              <w:rPr>
                <w:rFonts w:ascii="Times New Roman" w:hAnsi="Times New Roman" w:cs="Times New Roman"/>
              </w:rPr>
            </w:pPr>
            <w:r>
              <w:rPr>
                <w:rFonts w:ascii="Times New Roman" w:hAnsi="Times New Roman" w:cs="Times New Roman"/>
              </w:rPr>
              <w:t>90%</w:t>
            </w:r>
          </w:p>
        </w:tc>
        <w:tc>
          <w:tcPr>
            <w:tcW w:w="3118" w:type="dxa"/>
            <w:gridSpan w:val="2"/>
            <w:vAlign w:val="center"/>
          </w:tcPr>
          <w:p>
            <w:pPr>
              <w:pStyle w:val="18"/>
              <w:jc w:val="center"/>
              <w:rPr>
                <w:rFonts w:ascii="Times New Roman" w:hAnsi="Times New Roman" w:cs="Times New Roman"/>
              </w:rPr>
            </w:pPr>
            <w:r>
              <w:rPr>
                <w:rFonts w:ascii="Times New Roman" w:hAnsi="Times New Roman" w:cs="Times New Roman"/>
              </w:rP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jc w:val="center"/>
              <w:rPr>
                <w:rFonts w:ascii="Times New Roman" w:hAnsi="Times New Roman" w:cs="Times New Roman"/>
              </w:rPr>
            </w:pPr>
            <w:r>
              <w:rPr>
                <w:rFonts w:ascii="Times New Roman" w:hAnsi="Times New Roman" w:cs="Times New Roman"/>
              </w:rPr>
              <w:t>绩效目标</w:t>
            </w:r>
          </w:p>
        </w:tc>
        <w:tc>
          <w:tcPr>
            <w:tcW w:w="8617" w:type="dxa"/>
            <w:gridSpan w:val="6"/>
            <w:vAlign w:val="center"/>
          </w:tcPr>
          <w:p>
            <w:pPr>
              <w:pStyle w:val="17"/>
              <w:jc w:val="center"/>
              <w:rPr>
                <w:rFonts w:ascii="Times New Roman" w:hAnsi="Times New Roman" w:cs="Times New Roman"/>
              </w:rPr>
            </w:pPr>
            <w:r>
              <w:rPr>
                <w:rFonts w:ascii="Times New Roman" w:hAnsi="Times New Roman" w:cs="Times New Roman"/>
              </w:rPr>
              <w:t>1.目标内容1</w:t>
            </w:r>
          </w:p>
        </w:tc>
      </w:tr>
    </w:tbl>
    <w:p>
      <w:pPr>
        <w:spacing w:line="2" w:lineRule="exact"/>
        <w:jc w:val="center"/>
      </w:pPr>
    </w:p>
    <w:tbl>
      <w:tblPr>
        <w:tblStyle w:val="11"/>
        <w:tblW w:w="989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5"/>
              <w:jc w:val="center"/>
              <w:rPr>
                <w:rFonts w:ascii="Times New Roman" w:hAnsi="Times New Roman" w:cs="Times New Roman"/>
              </w:rPr>
            </w:pPr>
            <w:r>
              <w:rPr>
                <w:rFonts w:ascii="Times New Roman" w:hAnsi="Times New Roman" w:cs="Times New Roman"/>
              </w:rPr>
              <w:t>一级指标</w:t>
            </w:r>
          </w:p>
        </w:tc>
        <w:tc>
          <w:tcPr>
            <w:tcW w:w="1276" w:type="dxa"/>
            <w:vAlign w:val="center"/>
          </w:tcPr>
          <w:p>
            <w:pPr>
              <w:pStyle w:val="15"/>
              <w:jc w:val="center"/>
              <w:rPr>
                <w:rFonts w:ascii="Times New Roman" w:hAnsi="Times New Roman" w:cs="Times New Roman"/>
              </w:rPr>
            </w:pPr>
            <w:r>
              <w:rPr>
                <w:rFonts w:ascii="Times New Roman" w:hAnsi="Times New Roman" w:cs="Times New Roman"/>
              </w:rPr>
              <w:t>二级指标</w:t>
            </w:r>
          </w:p>
        </w:tc>
        <w:tc>
          <w:tcPr>
            <w:tcW w:w="1332" w:type="dxa"/>
            <w:vAlign w:val="center"/>
          </w:tcPr>
          <w:p>
            <w:pPr>
              <w:pStyle w:val="15"/>
              <w:jc w:val="center"/>
              <w:rPr>
                <w:rFonts w:ascii="Times New Roman" w:hAnsi="Times New Roman" w:cs="Times New Roman"/>
              </w:rPr>
            </w:pPr>
            <w:r>
              <w:rPr>
                <w:rFonts w:ascii="Times New Roman" w:hAnsi="Times New Roman" w:cs="Times New Roman"/>
              </w:rPr>
              <w:t>三级指标</w:t>
            </w:r>
          </w:p>
        </w:tc>
        <w:tc>
          <w:tcPr>
            <w:tcW w:w="2891" w:type="dxa"/>
            <w:vAlign w:val="center"/>
          </w:tcPr>
          <w:p>
            <w:pPr>
              <w:pStyle w:val="15"/>
              <w:jc w:val="center"/>
              <w:rPr>
                <w:rFonts w:ascii="Times New Roman" w:hAnsi="Times New Roman" w:cs="Times New Roman"/>
              </w:rPr>
            </w:pPr>
            <w:r>
              <w:rPr>
                <w:rFonts w:ascii="Times New Roman" w:hAnsi="Times New Roman" w:cs="Times New Roman"/>
              </w:rPr>
              <w:t>绩效指标描述</w:t>
            </w:r>
          </w:p>
        </w:tc>
        <w:tc>
          <w:tcPr>
            <w:tcW w:w="1276" w:type="dxa"/>
            <w:vAlign w:val="center"/>
          </w:tcPr>
          <w:p>
            <w:pPr>
              <w:pStyle w:val="15"/>
              <w:jc w:val="center"/>
              <w:rPr>
                <w:rFonts w:ascii="Times New Roman" w:hAnsi="Times New Roman" w:cs="Times New Roman"/>
              </w:rPr>
            </w:pPr>
            <w:r>
              <w:rPr>
                <w:rFonts w:ascii="Times New Roman" w:hAnsi="Times New Roman" w:cs="Times New Roman"/>
              </w:rPr>
              <w:t>指标值</w:t>
            </w:r>
          </w:p>
        </w:tc>
        <w:tc>
          <w:tcPr>
            <w:tcW w:w="1843" w:type="dxa"/>
            <w:vAlign w:val="center"/>
          </w:tcPr>
          <w:p>
            <w:pPr>
              <w:pStyle w:val="15"/>
              <w:jc w:val="center"/>
              <w:rPr>
                <w:rFonts w:ascii="Times New Roman" w:hAnsi="Times New Roman" w:cs="Times New Roman"/>
              </w:rPr>
            </w:pPr>
            <w:r>
              <w:rPr>
                <w:rFonts w:ascii="Times New Roman" w:hAnsi="Times New Roman" w:cs="Times New Roman"/>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743" w:hRule="atLeast"/>
          <w:jc w:val="center"/>
        </w:trPr>
        <w:tc>
          <w:tcPr>
            <w:tcW w:w="1276" w:type="dxa"/>
            <w:vMerge w:val="restart"/>
            <w:vAlign w:val="center"/>
          </w:tcPr>
          <w:p>
            <w:pPr>
              <w:pStyle w:val="18"/>
              <w:jc w:val="center"/>
              <w:rPr>
                <w:rFonts w:ascii="Times New Roman" w:hAnsi="Times New Roman" w:cs="Times New Roman"/>
              </w:rPr>
            </w:pPr>
            <w:bookmarkStart w:id="1" w:name="_Hlk124865590"/>
            <w:r>
              <w:rPr>
                <w:rFonts w:ascii="Times New Roman" w:hAnsi="Times New Roman" w:cs="Times New Roman"/>
              </w:rPr>
              <w:t>产出指标</w:t>
            </w:r>
            <w:bookmarkEnd w:id="1"/>
          </w:p>
        </w:tc>
        <w:tc>
          <w:tcPr>
            <w:tcW w:w="1276" w:type="dxa"/>
            <w:vAlign w:val="center"/>
          </w:tcPr>
          <w:p>
            <w:pPr>
              <w:pStyle w:val="17"/>
              <w:jc w:val="center"/>
              <w:rPr>
                <w:rFonts w:ascii="Times New Roman" w:hAnsi="Times New Roman" w:cs="Times New Roman"/>
              </w:rPr>
            </w:pPr>
            <w:r>
              <w:rPr>
                <w:rFonts w:ascii="Times New Roman" w:hAnsi="Times New Roman" w:cs="Times New Roman"/>
              </w:rPr>
              <w:t>数量指标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复印打印纸张数量</w:t>
            </w:r>
          </w:p>
        </w:tc>
        <w:tc>
          <w:tcPr>
            <w:tcW w:w="2891" w:type="dxa"/>
            <w:vAlign w:val="center"/>
          </w:tcPr>
          <w:p>
            <w:pPr>
              <w:pStyle w:val="17"/>
              <w:jc w:val="center"/>
              <w:rPr>
                <w:rFonts w:ascii="Times New Roman" w:hAnsi="Times New Roman" w:cs="Times New Roman"/>
              </w:rPr>
            </w:pPr>
            <w:r>
              <w:rPr>
                <w:rFonts w:ascii="Times New Roman" w:hAnsi="Times New Roman" w:cs="Times New Roman"/>
              </w:rPr>
              <w:t>普通复印打印用纸数量情况</w:t>
            </w:r>
          </w:p>
        </w:tc>
        <w:tc>
          <w:tcPr>
            <w:tcW w:w="1276" w:type="dxa"/>
            <w:vAlign w:val="center"/>
          </w:tcPr>
          <w:p>
            <w:pPr>
              <w:pStyle w:val="17"/>
              <w:jc w:val="center"/>
              <w:rPr>
                <w:rFonts w:ascii="Times New Roman" w:hAnsi="Times New Roman" w:cs="Times New Roman"/>
              </w:rPr>
            </w:pPr>
            <w:r>
              <w:rPr>
                <w:rFonts w:ascii="Times New Roman" w:hAnsi="Times New Roman" w:cs="Times New Roman"/>
              </w:rPr>
              <w:t>≥1.5万张</w:t>
            </w:r>
          </w:p>
        </w:tc>
        <w:tc>
          <w:tcPr>
            <w:tcW w:w="1843" w:type="dxa"/>
            <w:vAlign w:val="center"/>
          </w:tcPr>
          <w:p>
            <w:pPr>
              <w:pStyle w:val="17"/>
              <w:jc w:val="center"/>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数量指标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网络维护次数</w:t>
            </w:r>
          </w:p>
        </w:tc>
        <w:tc>
          <w:tcPr>
            <w:tcW w:w="2891" w:type="dxa"/>
            <w:vAlign w:val="center"/>
          </w:tcPr>
          <w:p>
            <w:pPr>
              <w:pStyle w:val="17"/>
              <w:jc w:val="center"/>
              <w:rPr>
                <w:rFonts w:ascii="Times New Roman" w:hAnsi="Times New Roman" w:cs="Times New Roman"/>
              </w:rPr>
            </w:pPr>
            <w:r>
              <w:rPr>
                <w:rFonts w:ascii="Times New Roman" w:hAnsi="Times New Roman" w:cs="Times New Roman"/>
              </w:rPr>
              <w:t>年度内网络漏洞扫描修复次数</w:t>
            </w:r>
          </w:p>
        </w:tc>
        <w:tc>
          <w:tcPr>
            <w:tcW w:w="1276" w:type="dxa"/>
            <w:vAlign w:val="center"/>
          </w:tcPr>
          <w:p>
            <w:pPr>
              <w:pStyle w:val="17"/>
              <w:jc w:val="center"/>
              <w:rPr>
                <w:rFonts w:ascii="Times New Roman" w:hAnsi="Times New Roman" w:cs="Times New Roman"/>
              </w:rPr>
            </w:pPr>
            <w:r>
              <w:rPr>
                <w:rFonts w:ascii="Times New Roman" w:hAnsi="Times New Roman" w:cs="Times New Roman"/>
              </w:rPr>
              <w:t>12次</w:t>
            </w:r>
          </w:p>
        </w:tc>
        <w:tc>
          <w:tcPr>
            <w:tcW w:w="1843" w:type="dxa"/>
            <w:vAlign w:val="center"/>
          </w:tcPr>
          <w:p>
            <w:pPr>
              <w:pStyle w:val="17"/>
              <w:jc w:val="center"/>
              <w:rPr>
                <w:rFonts w:ascii="Times New Roman" w:hAnsi="Times New Roman" w:cs="Times New Roman"/>
              </w:rPr>
            </w:pPr>
            <w:r>
              <w:rPr>
                <w:rFonts w:ascii="Times New Roman" w:hAnsi="Times New Roman" w:cs="Times New Roman"/>
              </w:rPr>
              <w:t>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713"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数量指标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日常维护基地数量</w:t>
            </w:r>
          </w:p>
        </w:tc>
        <w:tc>
          <w:tcPr>
            <w:tcW w:w="2891" w:type="dxa"/>
            <w:vAlign w:val="center"/>
          </w:tcPr>
          <w:p>
            <w:pPr>
              <w:pStyle w:val="17"/>
              <w:jc w:val="center"/>
              <w:rPr>
                <w:rFonts w:ascii="Times New Roman" w:hAnsi="Times New Roman" w:cs="Times New Roman"/>
              </w:rPr>
            </w:pPr>
            <w:r>
              <w:rPr>
                <w:rFonts w:ascii="Times New Roman" w:hAnsi="Times New Roman" w:cs="Times New Roman"/>
              </w:rPr>
              <w:t>维护基地数量情况</w:t>
            </w:r>
          </w:p>
        </w:tc>
        <w:tc>
          <w:tcPr>
            <w:tcW w:w="1276" w:type="dxa"/>
            <w:vAlign w:val="center"/>
          </w:tcPr>
          <w:p>
            <w:pPr>
              <w:pStyle w:val="17"/>
              <w:jc w:val="center"/>
              <w:rPr>
                <w:rFonts w:ascii="Times New Roman" w:hAnsi="Times New Roman" w:cs="Times New Roman"/>
              </w:rPr>
            </w:pPr>
            <w:r>
              <w:rPr>
                <w:rFonts w:ascii="Times New Roman" w:hAnsi="Times New Roman" w:cs="Times New Roman"/>
              </w:rPr>
              <w:t>2个</w:t>
            </w:r>
          </w:p>
        </w:tc>
        <w:tc>
          <w:tcPr>
            <w:tcW w:w="1843" w:type="dxa"/>
            <w:vAlign w:val="center"/>
          </w:tcPr>
          <w:p>
            <w:pPr>
              <w:pStyle w:val="17"/>
              <w:jc w:val="center"/>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90"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数量指标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维护棚室数量</w:t>
            </w:r>
          </w:p>
        </w:tc>
        <w:tc>
          <w:tcPr>
            <w:tcW w:w="2891" w:type="dxa"/>
            <w:vAlign w:val="center"/>
          </w:tcPr>
          <w:p>
            <w:pPr>
              <w:pStyle w:val="17"/>
              <w:jc w:val="center"/>
              <w:rPr>
                <w:rFonts w:ascii="Times New Roman" w:hAnsi="Times New Roman" w:cs="Times New Roman"/>
              </w:rPr>
            </w:pPr>
            <w:r>
              <w:rPr>
                <w:rFonts w:ascii="Times New Roman" w:hAnsi="Times New Roman" w:cs="Times New Roman"/>
              </w:rPr>
              <w:t>维护两基地棚室总个数情况</w:t>
            </w:r>
          </w:p>
        </w:tc>
        <w:tc>
          <w:tcPr>
            <w:tcW w:w="1276" w:type="dxa"/>
            <w:vAlign w:val="center"/>
          </w:tcPr>
          <w:p>
            <w:pPr>
              <w:pStyle w:val="17"/>
              <w:jc w:val="center"/>
              <w:rPr>
                <w:rFonts w:ascii="Times New Roman" w:hAnsi="Times New Roman" w:cs="Times New Roman"/>
              </w:rPr>
            </w:pPr>
            <w:r>
              <w:rPr>
                <w:rFonts w:ascii="Times New Roman" w:hAnsi="Times New Roman" w:cs="Times New Roman"/>
              </w:rPr>
              <w:t>≥28栋</w:t>
            </w:r>
          </w:p>
        </w:tc>
        <w:tc>
          <w:tcPr>
            <w:tcW w:w="1843" w:type="dxa"/>
            <w:vAlign w:val="center"/>
          </w:tcPr>
          <w:p>
            <w:pPr>
              <w:pStyle w:val="17"/>
              <w:jc w:val="center"/>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数量指标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维护值班室数量</w:t>
            </w:r>
          </w:p>
        </w:tc>
        <w:tc>
          <w:tcPr>
            <w:tcW w:w="2891" w:type="dxa"/>
            <w:vAlign w:val="center"/>
          </w:tcPr>
          <w:p>
            <w:pPr>
              <w:pStyle w:val="17"/>
              <w:jc w:val="center"/>
              <w:rPr>
                <w:rFonts w:ascii="Times New Roman" w:hAnsi="Times New Roman" w:cs="Times New Roman"/>
              </w:rPr>
            </w:pPr>
            <w:r>
              <w:rPr>
                <w:rFonts w:ascii="Times New Roman" w:hAnsi="Times New Roman" w:cs="Times New Roman"/>
              </w:rPr>
              <w:t>维护基地值班室数量情况</w:t>
            </w:r>
          </w:p>
        </w:tc>
        <w:tc>
          <w:tcPr>
            <w:tcW w:w="1276" w:type="dxa"/>
            <w:vAlign w:val="center"/>
          </w:tcPr>
          <w:p>
            <w:pPr>
              <w:pStyle w:val="17"/>
              <w:jc w:val="center"/>
              <w:rPr>
                <w:rFonts w:ascii="Times New Roman" w:hAnsi="Times New Roman" w:cs="Times New Roman"/>
              </w:rPr>
            </w:pPr>
            <w:r>
              <w:rPr>
                <w:rFonts w:ascii="Times New Roman" w:hAnsi="Times New Roman" w:cs="Times New Roman"/>
              </w:rPr>
              <w:t>2间</w:t>
            </w:r>
          </w:p>
        </w:tc>
        <w:tc>
          <w:tcPr>
            <w:tcW w:w="1843" w:type="dxa"/>
            <w:vAlign w:val="center"/>
          </w:tcPr>
          <w:p>
            <w:pPr>
              <w:pStyle w:val="17"/>
              <w:jc w:val="center"/>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数量指标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日常维护基地面积</w:t>
            </w:r>
          </w:p>
        </w:tc>
        <w:tc>
          <w:tcPr>
            <w:tcW w:w="2891" w:type="dxa"/>
            <w:vAlign w:val="center"/>
          </w:tcPr>
          <w:p>
            <w:pPr>
              <w:pStyle w:val="17"/>
              <w:jc w:val="center"/>
              <w:rPr>
                <w:rFonts w:ascii="Times New Roman" w:hAnsi="Times New Roman" w:cs="Times New Roman"/>
              </w:rPr>
            </w:pPr>
            <w:r>
              <w:rPr>
                <w:rFonts w:ascii="Times New Roman" w:hAnsi="Times New Roman" w:cs="Times New Roman"/>
              </w:rPr>
              <w:t>反映维护管理的基地占地面积情况</w:t>
            </w:r>
          </w:p>
        </w:tc>
        <w:tc>
          <w:tcPr>
            <w:tcW w:w="1276" w:type="dxa"/>
            <w:vAlign w:val="center"/>
          </w:tcPr>
          <w:p>
            <w:pPr>
              <w:pStyle w:val="17"/>
              <w:jc w:val="center"/>
              <w:rPr>
                <w:rFonts w:ascii="Times New Roman" w:hAnsi="Times New Roman" w:cs="Times New Roman"/>
              </w:rPr>
            </w:pPr>
            <w:r>
              <w:rPr>
                <w:rFonts w:ascii="Times New Roman" w:hAnsi="Times New Roman" w:cs="Times New Roman"/>
              </w:rPr>
              <w:t>≤289亩</w:t>
            </w:r>
          </w:p>
        </w:tc>
        <w:tc>
          <w:tcPr>
            <w:tcW w:w="1843" w:type="dxa"/>
            <w:vAlign w:val="center"/>
          </w:tcPr>
          <w:p>
            <w:pPr>
              <w:pStyle w:val="17"/>
              <w:jc w:val="center"/>
              <w:rPr>
                <w:rFonts w:ascii="Times New Roman" w:hAnsi="Times New Roman" w:cs="Times New Roman"/>
              </w:rPr>
            </w:pPr>
            <w:r>
              <w:rPr>
                <w:rFonts w:ascii="Times New Roman" w:hAnsi="Times New Roman" w:cs="Times New Roman"/>
              </w:rPr>
              <w:t>基地占地面积</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数量指标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维护检修井数量</w:t>
            </w:r>
          </w:p>
        </w:tc>
        <w:tc>
          <w:tcPr>
            <w:tcW w:w="2891" w:type="dxa"/>
            <w:vAlign w:val="center"/>
          </w:tcPr>
          <w:p>
            <w:pPr>
              <w:pStyle w:val="17"/>
              <w:jc w:val="center"/>
              <w:rPr>
                <w:rFonts w:ascii="Times New Roman" w:hAnsi="Times New Roman" w:cs="Times New Roman"/>
              </w:rPr>
            </w:pPr>
            <w:r>
              <w:rPr>
                <w:rFonts w:ascii="Times New Roman" w:hAnsi="Times New Roman" w:cs="Times New Roman"/>
              </w:rPr>
              <w:t>维修电线电缆检修井和水管阀门检修井数量情况</w:t>
            </w:r>
          </w:p>
        </w:tc>
        <w:tc>
          <w:tcPr>
            <w:tcW w:w="1276" w:type="dxa"/>
            <w:vAlign w:val="center"/>
          </w:tcPr>
          <w:p>
            <w:pPr>
              <w:pStyle w:val="17"/>
              <w:jc w:val="center"/>
              <w:rPr>
                <w:rFonts w:ascii="Times New Roman" w:hAnsi="Times New Roman" w:cs="Times New Roman"/>
              </w:rPr>
            </w:pPr>
            <w:r>
              <w:rPr>
                <w:rFonts w:ascii="Times New Roman" w:hAnsi="Times New Roman" w:cs="Times New Roman"/>
              </w:rPr>
              <w:t>6个</w:t>
            </w:r>
          </w:p>
        </w:tc>
        <w:tc>
          <w:tcPr>
            <w:tcW w:w="1843" w:type="dxa"/>
            <w:vAlign w:val="center"/>
          </w:tcPr>
          <w:p>
            <w:pPr>
              <w:pStyle w:val="17"/>
              <w:jc w:val="center"/>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数量指标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土地整理面积</w:t>
            </w:r>
          </w:p>
        </w:tc>
        <w:tc>
          <w:tcPr>
            <w:tcW w:w="2891" w:type="dxa"/>
            <w:vAlign w:val="center"/>
          </w:tcPr>
          <w:p>
            <w:pPr>
              <w:pStyle w:val="17"/>
              <w:jc w:val="center"/>
              <w:rPr>
                <w:rFonts w:ascii="Times New Roman" w:hAnsi="Times New Roman" w:cs="Times New Roman"/>
              </w:rPr>
            </w:pPr>
            <w:r>
              <w:rPr>
                <w:rFonts w:ascii="Times New Roman" w:hAnsi="Times New Roman" w:cs="Times New Roman"/>
              </w:rPr>
              <w:t>反映基地土地整理面积情况</w:t>
            </w:r>
          </w:p>
        </w:tc>
        <w:tc>
          <w:tcPr>
            <w:tcW w:w="1276" w:type="dxa"/>
            <w:vAlign w:val="center"/>
          </w:tcPr>
          <w:p>
            <w:pPr>
              <w:pStyle w:val="17"/>
              <w:jc w:val="center"/>
              <w:rPr>
                <w:rFonts w:ascii="Times New Roman" w:hAnsi="Times New Roman" w:cs="Times New Roman"/>
              </w:rPr>
            </w:pPr>
            <w:r>
              <w:rPr>
                <w:rFonts w:ascii="Times New Roman" w:hAnsi="Times New Roman" w:cs="Times New Roman"/>
              </w:rPr>
              <w:t>≥2.4亩</w:t>
            </w:r>
          </w:p>
        </w:tc>
        <w:tc>
          <w:tcPr>
            <w:tcW w:w="1843" w:type="dxa"/>
            <w:vAlign w:val="center"/>
          </w:tcPr>
          <w:p>
            <w:pPr>
              <w:pStyle w:val="17"/>
              <w:jc w:val="center"/>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质量指标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网络安全率</w:t>
            </w:r>
          </w:p>
        </w:tc>
        <w:tc>
          <w:tcPr>
            <w:tcW w:w="2891" w:type="dxa"/>
            <w:vAlign w:val="center"/>
          </w:tcPr>
          <w:p>
            <w:pPr>
              <w:pStyle w:val="17"/>
              <w:jc w:val="center"/>
              <w:rPr>
                <w:rFonts w:ascii="Times New Roman" w:hAnsi="Times New Roman" w:cs="Times New Roman"/>
              </w:rPr>
            </w:pPr>
            <w:r>
              <w:rPr>
                <w:rFonts w:ascii="Times New Roman" w:hAnsi="Times New Roman" w:cs="Times New Roman"/>
              </w:rPr>
              <w:t>反映每月网络修复后系统安全率情况</w:t>
            </w:r>
          </w:p>
        </w:tc>
        <w:tc>
          <w:tcPr>
            <w:tcW w:w="1276" w:type="dxa"/>
            <w:vAlign w:val="center"/>
          </w:tcPr>
          <w:p>
            <w:pPr>
              <w:pStyle w:val="17"/>
              <w:jc w:val="center"/>
              <w:rPr>
                <w:rFonts w:ascii="Times New Roman" w:hAnsi="Times New Roman" w:cs="Times New Roman"/>
              </w:rPr>
            </w:pPr>
            <w:r>
              <w:rPr>
                <w:rFonts w:ascii="Times New Roman" w:hAnsi="Times New Roman" w:cs="Times New Roman"/>
              </w:rPr>
              <w:t>100百分比</w:t>
            </w:r>
          </w:p>
        </w:tc>
        <w:tc>
          <w:tcPr>
            <w:tcW w:w="1843" w:type="dxa"/>
            <w:vAlign w:val="center"/>
          </w:tcPr>
          <w:p>
            <w:pPr>
              <w:pStyle w:val="17"/>
              <w:jc w:val="center"/>
              <w:rPr>
                <w:rFonts w:ascii="Times New Roman" w:hAnsi="Times New Roman" w:cs="Times New Roman"/>
              </w:rPr>
            </w:pPr>
            <w:r>
              <w:rPr>
                <w:rFonts w:ascii="Times New Roman" w:hAnsi="Times New Roman" w:cs="Times New Roman"/>
              </w:rPr>
              <w:t>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质量指标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故障排除率</w:t>
            </w:r>
          </w:p>
        </w:tc>
        <w:tc>
          <w:tcPr>
            <w:tcW w:w="2891" w:type="dxa"/>
            <w:vAlign w:val="center"/>
          </w:tcPr>
          <w:p>
            <w:pPr>
              <w:pStyle w:val="17"/>
              <w:jc w:val="center"/>
              <w:rPr>
                <w:rFonts w:ascii="Times New Roman" w:hAnsi="Times New Roman" w:cs="Times New Roman"/>
              </w:rPr>
            </w:pPr>
            <w:r>
              <w:rPr>
                <w:rFonts w:ascii="Times New Roman" w:hAnsi="Times New Roman" w:cs="Times New Roman"/>
              </w:rPr>
              <w:t>报修故障排除完成比例情况</w:t>
            </w:r>
          </w:p>
        </w:tc>
        <w:tc>
          <w:tcPr>
            <w:tcW w:w="1276" w:type="dxa"/>
            <w:vAlign w:val="center"/>
          </w:tcPr>
          <w:p>
            <w:pPr>
              <w:pStyle w:val="17"/>
              <w:jc w:val="center"/>
              <w:rPr>
                <w:rFonts w:ascii="Times New Roman" w:hAnsi="Times New Roman" w:cs="Times New Roman"/>
              </w:rPr>
            </w:pPr>
            <w:r>
              <w:rPr>
                <w:rFonts w:ascii="Times New Roman" w:hAnsi="Times New Roman" w:cs="Times New Roman"/>
              </w:rPr>
              <w:t>≥100百分比</w:t>
            </w:r>
          </w:p>
        </w:tc>
        <w:tc>
          <w:tcPr>
            <w:tcW w:w="1843" w:type="dxa"/>
            <w:vAlign w:val="center"/>
          </w:tcPr>
          <w:p>
            <w:pPr>
              <w:pStyle w:val="17"/>
              <w:jc w:val="center"/>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质量指标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验收合格率</w:t>
            </w:r>
          </w:p>
        </w:tc>
        <w:tc>
          <w:tcPr>
            <w:tcW w:w="2891" w:type="dxa"/>
            <w:vAlign w:val="center"/>
          </w:tcPr>
          <w:p>
            <w:pPr>
              <w:pStyle w:val="17"/>
              <w:jc w:val="center"/>
              <w:rPr>
                <w:rFonts w:ascii="Times New Roman" w:hAnsi="Times New Roman" w:cs="Times New Roman"/>
              </w:rPr>
            </w:pPr>
            <w:r>
              <w:rPr>
                <w:rFonts w:ascii="Times New Roman" w:hAnsi="Times New Roman" w:cs="Times New Roman"/>
              </w:rPr>
              <w:t>棚室、值班室等维修工程验收合格率</w:t>
            </w:r>
          </w:p>
        </w:tc>
        <w:tc>
          <w:tcPr>
            <w:tcW w:w="1276" w:type="dxa"/>
            <w:vAlign w:val="center"/>
          </w:tcPr>
          <w:p>
            <w:pPr>
              <w:pStyle w:val="17"/>
              <w:jc w:val="center"/>
              <w:rPr>
                <w:rFonts w:ascii="Times New Roman" w:hAnsi="Times New Roman" w:cs="Times New Roman"/>
              </w:rPr>
            </w:pPr>
            <w:r>
              <w:rPr>
                <w:rFonts w:ascii="Times New Roman" w:hAnsi="Times New Roman" w:cs="Times New Roman"/>
              </w:rPr>
              <w:t>≥100百分比</w:t>
            </w:r>
          </w:p>
        </w:tc>
        <w:tc>
          <w:tcPr>
            <w:tcW w:w="1843" w:type="dxa"/>
            <w:vAlign w:val="center"/>
          </w:tcPr>
          <w:p>
            <w:pPr>
              <w:pStyle w:val="17"/>
              <w:jc w:val="center"/>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质量指标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看护质量</w:t>
            </w:r>
          </w:p>
        </w:tc>
        <w:tc>
          <w:tcPr>
            <w:tcW w:w="2891" w:type="dxa"/>
            <w:vAlign w:val="center"/>
          </w:tcPr>
          <w:p>
            <w:pPr>
              <w:pStyle w:val="17"/>
              <w:jc w:val="center"/>
              <w:rPr>
                <w:rFonts w:ascii="Times New Roman" w:hAnsi="Times New Roman" w:cs="Times New Roman"/>
              </w:rPr>
            </w:pPr>
            <w:r>
              <w:rPr>
                <w:rFonts w:ascii="Times New Roman" w:hAnsi="Times New Roman" w:cs="Times New Roman"/>
              </w:rPr>
              <w:t>反应基地看护质量情况</w:t>
            </w:r>
          </w:p>
        </w:tc>
        <w:tc>
          <w:tcPr>
            <w:tcW w:w="1276" w:type="dxa"/>
            <w:vAlign w:val="center"/>
          </w:tcPr>
          <w:p>
            <w:pPr>
              <w:pStyle w:val="17"/>
              <w:jc w:val="center"/>
              <w:rPr>
                <w:rFonts w:ascii="Times New Roman" w:hAnsi="Times New Roman" w:cs="Times New Roman"/>
              </w:rPr>
            </w:pPr>
            <w:r>
              <w:rPr>
                <w:rFonts w:ascii="Times New Roman" w:hAnsi="Times New Roman" w:cs="Times New Roman"/>
              </w:rPr>
              <w:t>不低于合同约定标准</w:t>
            </w:r>
          </w:p>
        </w:tc>
        <w:tc>
          <w:tcPr>
            <w:tcW w:w="1843" w:type="dxa"/>
            <w:vAlign w:val="center"/>
          </w:tcPr>
          <w:p>
            <w:pPr>
              <w:pStyle w:val="17"/>
              <w:jc w:val="center"/>
              <w:rPr>
                <w:rFonts w:ascii="Times New Roman" w:hAnsi="Times New Roman" w:cs="Times New Roman"/>
              </w:rPr>
            </w:pPr>
            <w:r>
              <w:rPr>
                <w:rFonts w:ascii="Times New Roman" w:hAnsi="Times New Roman" w:cs="Times New Roman"/>
              </w:rPr>
              <w:t>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时效指标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费用支付及时性</w:t>
            </w:r>
          </w:p>
        </w:tc>
        <w:tc>
          <w:tcPr>
            <w:tcW w:w="2891" w:type="dxa"/>
            <w:vAlign w:val="center"/>
          </w:tcPr>
          <w:p>
            <w:pPr>
              <w:pStyle w:val="17"/>
              <w:jc w:val="center"/>
              <w:rPr>
                <w:rFonts w:ascii="Times New Roman" w:hAnsi="Times New Roman" w:cs="Times New Roman"/>
              </w:rPr>
            </w:pPr>
            <w:r>
              <w:rPr>
                <w:rFonts w:ascii="Times New Roman" w:hAnsi="Times New Roman" w:cs="Times New Roman"/>
              </w:rPr>
              <w:t>反映法律顾问费用支付及时情况</w:t>
            </w:r>
          </w:p>
        </w:tc>
        <w:tc>
          <w:tcPr>
            <w:tcW w:w="1276" w:type="dxa"/>
            <w:vAlign w:val="center"/>
          </w:tcPr>
          <w:p>
            <w:pPr>
              <w:pStyle w:val="17"/>
              <w:jc w:val="center"/>
              <w:rPr>
                <w:rFonts w:ascii="Times New Roman" w:hAnsi="Times New Roman" w:cs="Times New Roman"/>
              </w:rPr>
            </w:pPr>
            <w:r>
              <w:rPr>
                <w:rFonts w:ascii="Times New Roman" w:hAnsi="Times New Roman" w:cs="Times New Roman"/>
              </w:rPr>
              <w:t>及时</w:t>
            </w:r>
          </w:p>
        </w:tc>
        <w:tc>
          <w:tcPr>
            <w:tcW w:w="1843" w:type="dxa"/>
            <w:vAlign w:val="center"/>
          </w:tcPr>
          <w:p>
            <w:pPr>
              <w:pStyle w:val="17"/>
              <w:jc w:val="center"/>
              <w:rPr>
                <w:rFonts w:ascii="Times New Roman" w:hAnsi="Times New Roman" w:cs="Times New Roman"/>
              </w:rPr>
            </w:pPr>
            <w:r>
              <w:rPr>
                <w:rFonts w:ascii="Times New Roman" w:hAnsi="Times New Roman" w:cs="Times New Roman"/>
              </w:rPr>
              <w:t>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8"/>
              <w:jc w:val="center"/>
              <w:rPr>
                <w:rFonts w:ascii="Times New Roman" w:hAnsi="Times New Roman" w:cs="Times New Roman"/>
                <w:szCs w:val="21"/>
              </w:rPr>
            </w:pPr>
            <w:r>
              <w:rPr>
                <w:rFonts w:ascii="Times New Roman" w:hAnsi="Times New Roman" w:cs="Times New Roman"/>
              </w:rPr>
              <w:t>产出指标</w:t>
            </w:r>
          </w:p>
        </w:tc>
        <w:tc>
          <w:tcPr>
            <w:tcW w:w="1276" w:type="dxa"/>
            <w:vAlign w:val="center"/>
          </w:tcPr>
          <w:p>
            <w:pPr>
              <w:pStyle w:val="17"/>
              <w:jc w:val="center"/>
              <w:rPr>
                <w:rFonts w:ascii="Times New Roman" w:hAnsi="Times New Roman" w:cs="Times New Roman"/>
              </w:rPr>
            </w:pPr>
            <w:r>
              <w:rPr>
                <w:rFonts w:ascii="Times New Roman" w:hAnsi="Times New Roman" w:cs="Times New Roman"/>
              </w:rPr>
              <w:t>时效指标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维修维护各项工程完成时间</w:t>
            </w:r>
          </w:p>
        </w:tc>
        <w:tc>
          <w:tcPr>
            <w:tcW w:w="2891" w:type="dxa"/>
            <w:vAlign w:val="center"/>
          </w:tcPr>
          <w:p>
            <w:pPr>
              <w:pStyle w:val="17"/>
              <w:jc w:val="center"/>
              <w:rPr>
                <w:rFonts w:ascii="Times New Roman" w:hAnsi="Times New Roman" w:cs="Times New Roman"/>
              </w:rPr>
            </w:pPr>
            <w:r>
              <w:rPr>
                <w:rFonts w:ascii="Times New Roman" w:hAnsi="Times New Roman" w:cs="Times New Roman"/>
              </w:rPr>
              <w:t>基地维修维护各项工程完成时间</w:t>
            </w:r>
          </w:p>
        </w:tc>
        <w:tc>
          <w:tcPr>
            <w:tcW w:w="1276" w:type="dxa"/>
            <w:vAlign w:val="center"/>
          </w:tcPr>
          <w:p>
            <w:pPr>
              <w:pStyle w:val="17"/>
              <w:jc w:val="center"/>
              <w:rPr>
                <w:rFonts w:ascii="Times New Roman" w:hAnsi="Times New Roman" w:cs="Times New Roman"/>
              </w:rPr>
            </w:pPr>
            <w:r>
              <w:rPr>
                <w:rFonts w:ascii="Times New Roman" w:hAnsi="Times New Roman" w:cs="Times New Roman"/>
              </w:rPr>
              <w:t>12月底前</w:t>
            </w:r>
          </w:p>
        </w:tc>
        <w:tc>
          <w:tcPr>
            <w:tcW w:w="1843" w:type="dxa"/>
            <w:vAlign w:val="center"/>
          </w:tcPr>
          <w:p>
            <w:pPr>
              <w:pStyle w:val="17"/>
              <w:jc w:val="center"/>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34"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时效指标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看护时间</w:t>
            </w:r>
          </w:p>
        </w:tc>
        <w:tc>
          <w:tcPr>
            <w:tcW w:w="2891" w:type="dxa"/>
            <w:vAlign w:val="center"/>
          </w:tcPr>
          <w:p>
            <w:pPr>
              <w:pStyle w:val="17"/>
              <w:jc w:val="center"/>
              <w:rPr>
                <w:rFonts w:ascii="Times New Roman" w:hAnsi="Times New Roman" w:cs="Times New Roman"/>
              </w:rPr>
            </w:pPr>
            <w:r>
              <w:rPr>
                <w:rFonts w:ascii="Times New Roman" w:hAnsi="Times New Roman" w:cs="Times New Roman"/>
              </w:rPr>
              <w:t>基地看护时间</w:t>
            </w:r>
          </w:p>
        </w:tc>
        <w:tc>
          <w:tcPr>
            <w:tcW w:w="1276" w:type="dxa"/>
            <w:vAlign w:val="center"/>
          </w:tcPr>
          <w:p>
            <w:pPr>
              <w:pStyle w:val="17"/>
              <w:jc w:val="center"/>
              <w:rPr>
                <w:rFonts w:ascii="Times New Roman" w:hAnsi="Times New Roman" w:cs="Times New Roman"/>
              </w:rPr>
            </w:pPr>
            <w:r>
              <w:rPr>
                <w:rFonts w:ascii="Times New Roman" w:hAnsi="Times New Roman" w:cs="Times New Roman"/>
              </w:rPr>
              <w:t>≤365天</w:t>
            </w:r>
          </w:p>
        </w:tc>
        <w:tc>
          <w:tcPr>
            <w:tcW w:w="1843" w:type="dxa"/>
            <w:vAlign w:val="center"/>
          </w:tcPr>
          <w:p>
            <w:pPr>
              <w:pStyle w:val="17"/>
              <w:jc w:val="center"/>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683"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成本指标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网络平均维护成本</w:t>
            </w:r>
          </w:p>
        </w:tc>
        <w:tc>
          <w:tcPr>
            <w:tcW w:w="2891" w:type="dxa"/>
            <w:vAlign w:val="center"/>
          </w:tcPr>
          <w:p>
            <w:pPr>
              <w:pStyle w:val="17"/>
              <w:jc w:val="center"/>
              <w:rPr>
                <w:rFonts w:ascii="Times New Roman" w:hAnsi="Times New Roman" w:cs="Times New Roman"/>
              </w:rPr>
            </w:pPr>
            <w:r>
              <w:rPr>
                <w:rFonts w:ascii="Times New Roman" w:hAnsi="Times New Roman" w:cs="Times New Roman"/>
              </w:rPr>
              <w:t>反映本部门网络维护平均成本控制情况</w:t>
            </w:r>
          </w:p>
        </w:tc>
        <w:tc>
          <w:tcPr>
            <w:tcW w:w="1276" w:type="dxa"/>
            <w:vAlign w:val="center"/>
          </w:tcPr>
          <w:p>
            <w:pPr>
              <w:pStyle w:val="17"/>
              <w:jc w:val="center"/>
              <w:rPr>
                <w:rFonts w:ascii="Times New Roman" w:hAnsi="Times New Roman" w:cs="Times New Roman"/>
              </w:rPr>
            </w:pPr>
            <w:r>
              <w:rPr>
                <w:rFonts w:ascii="Times New Roman" w:hAnsi="Times New Roman" w:cs="Times New Roman"/>
              </w:rPr>
              <w:t>≤4000元</w:t>
            </w:r>
          </w:p>
        </w:tc>
        <w:tc>
          <w:tcPr>
            <w:tcW w:w="1843" w:type="dxa"/>
            <w:vAlign w:val="center"/>
          </w:tcPr>
          <w:p>
            <w:pPr>
              <w:pStyle w:val="17"/>
              <w:jc w:val="center"/>
              <w:rPr>
                <w:rFonts w:ascii="Times New Roman" w:hAnsi="Times New Roman" w:cs="Times New Roman"/>
              </w:rPr>
            </w:pPr>
            <w:r>
              <w:rPr>
                <w:rFonts w:ascii="Times New Roman" w:hAnsi="Times New Roman" w:cs="Times New Roman"/>
              </w:rPr>
              <w:t>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818"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成本指标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看护成本</w:t>
            </w:r>
          </w:p>
        </w:tc>
        <w:tc>
          <w:tcPr>
            <w:tcW w:w="2891" w:type="dxa"/>
            <w:vAlign w:val="center"/>
          </w:tcPr>
          <w:p>
            <w:pPr>
              <w:pStyle w:val="17"/>
              <w:jc w:val="center"/>
              <w:rPr>
                <w:rFonts w:ascii="Times New Roman" w:hAnsi="Times New Roman" w:cs="Times New Roman"/>
              </w:rPr>
            </w:pPr>
            <w:r>
              <w:rPr>
                <w:rFonts w:ascii="Times New Roman" w:hAnsi="Times New Roman" w:cs="Times New Roman"/>
              </w:rPr>
              <w:t>基地看护人均成本</w:t>
            </w:r>
          </w:p>
        </w:tc>
        <w:tc>
          <w:tcPr>
            <w:tcW w:w="1276" w:type="dxa"/>
            <w:vAlign w:val="center"/>
          </w:tcPr>
          <w:p>
            <w:pPr>
              <w:pStyle w:val="17"/>
              <w:jc w:val="center"/>
              <w:rPr>
                <w:rFonts w:ascii="Times New Roman" w:hAnsi="Times New Roman" w:cs="Times New Roman"/>
              </w:rPr>
            </w:pPr>
            <w:r>
              <w:rPr>
                <w:rFonts w:ascii="Times New Roman" w:hAnsi="Times New Roman" w:cs="Times New Roman"/>
              </w:rPr>
              <w:t>≤3260人/月</w:t>
            </w:r>
          </w:p>
        </w:tc>
        <w:tc>
          <w:tcPr>
            <w:tcW w:w="1843" w:type="dxa"/>
            <w:vAlign w:val="center"/>
          </w:tcPr>
          <w:p>
            <w:pPr>
              <w:pStyle w:val="17"/>
              <w:jc w:val="center"/>
              <w:rPr>
                <w:rFonts w:ascii="Times New Roman" w:hAnsi="Times New Roman" w:cs="Times New Roman"/>
              </w:rPr>
            </w:pPr>
            <w:r>
              <w:rPr>
                <w:rFonts w:ascii="Times New Roman" w:hAnsi="Times New Roman" w:cs="Times New Roman"/>
              </w:rPr>
              <w:t>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8"/>
              <w:jc w:val="center"/>
              <w:rPr>
                <w:rFonts w:ascii="Times New Roman" w:hAnsi="Times New Roman" w:cs="Times New Roman"/>
              </w:rPr>
            </w:pPr>
            <w:r>
              <w:rPr>
                <w:rFonts w:ascii="Times New Roman" w:hAnsi="Times New Roman" w:cs="Times New Roman"/>
              </w:rPr>
              <w:t>效益指标</w:t>
            </w:r>
          </w:p>
        </w:tc>
        <w:tc>
          <w:tcPr>
            <w:tcW w:w="1276" w:type="dxa"/>
            <w:vAlign w:val="center"/>
          </w:tcPr>
          <w:p>
            <w:pPr>
              <w:pStyle w:val="17"/>
              <w:jc w:val="center"/>
              <w:rPr>
                <w:rFonts w:ascii="Times New Roman" w:hAnsi="Times New Roman" w:cs="Times New Roman"/>
              </w:rPr>
            </w:pPr>
            <w:r>
              <w:rPr>
                <w:rFonts w:ascii="Times New Roman" w:hAnsi="Times New Roman" w:cs="Times New Roman"/>
              </w:rPr>
              <w:t>社会效益指标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接受科技服务农户科技获得感提升率</w:t>
            </w:r>
          </w:p>
        </w:tc>
        <w:tc>
          <w:tcPr>
            <w:tcW w:w="2891" w:type="dxa"/>
            <w:vAlign w:val="center"/>
          </w:tcPr>
          <w:p>
            <w:pPr>
              <w:pStyle w:val="17"/>
              <w:jc w:val="center"/>
              <w:rPr>
                <w:rFonts w:ascii="Times New Roman" w:hAnsi="Times New Roman" w:cs="Times New Roman"/>
              </w:rPr>
            </w:pPr>
            <w:r>
              <w:rPr>
                <w:rFonts w:ascii="Times New Roman" w:hAnsi="Times New Roman" w:cs="Times New Roman"/>
              </w:rPr>
              <w:t>接受科技服务、技术指导的农户科技获得感提升情况</w:t>
            </w:r>
          </w:p>
        </w:tc>
        <w:tc>
          <w:tcPr>
            <w:tcW w:w="1276" w:type="dxa"/>
            <w:vAlign w:val="center"/>
          </w:tcPr>
          <w:p>
            <w:pPr>
              <w:pStyle w:val="17"/>
              <w:jc w:val="center"/>
              <w:rPr>
                <w:rFonts w:ascii="Times New Roman" w:hAnsi="Times New Roman" w:cs="Times New Roman"/>
              </w:rPr>
            </w:pPr>
            <w:r>
              <w:rPr>
                <w:rFonts w:ascii="Times New Roman" w:hAnsi="Times New Roman" w:cs="Times New Roman"/>
              </w:rPr>
              <w:t>≥95百分比</w:t>
            </w:r>
          </w:p>
        </w:tc>
        <w:tc>
          <w:tcPr>
            <w:tcW w:w="1843" w:type="dxa"/>
            <w:vAlign w:val="center"/>
          </w:tcPr>
          <w:p>
            <w:pPr>
              <w:pStyle w:val="17"/>
              <w:jc w:val="center"/>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社会效益指标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开展实验品种数量</w:t>
            </w:r>
          </w:p>
        </w:tc>
        <w:tc>
          <w:tcPr>
            <w:tcW w:w="2891" w:type="dxa"/>
            <w:vAlign w:val="center"/>
          </w:tcPr>
          <w:p>
            <w:pPr>
              <w:pStyle w:val="17"/>
              <w:jc w:val="center"/>
              <w:rPr>
                <w:rFonts w:ascii="Times New Roman" w:hAnsi="Times New Roman" w:cs="Times New Roman"/>
              </w:rPr>
            </w:pPr>
            <w:r>
              <w:rPr>
                <w:rFonts w:ascii="Times New Roman" w:hAnsi="Times New Roman" w:cs="Times New Roman"/>
              </w:rPr>
              <w:t>基地开展实验品种数量</w:t>
            </w:r>
          </w:p>
        </w:tc>
        <w:tc>
          <w:tcPr>
            <w:tcW w:w="1276" w:type="dxa"/>
            <w:vAlign w:val="center"/>
          </w:tcPr>
          <w:p>
            <w:pPr>
              <w:pStyle w:val="17"/>
              <w:jc w:val="center"/>
              <w:rPr>
                <w:rFonts w:ascii="Times New Roman" w:hAnsi="Times New Roman" w:cs="Times New Roman"/>
              </w:rPr>
            </w:pPr>
            <w:r>
              <w:rPr>
                <w:rFonts w:ascii="Times New Roman" w:hAnsi="Times New Roman" w:cs="Times New Roman"/>
              </w:rPr>
              <w:t>≥50个</w:t>
            </w:r>
          </w:p>
        </w:tc>
        <w:tc>
          <w:tcPr>
            <w:tcW w:w="1843" w:type="dxa"/>
            <w:vAlign w:val="center"/>
          </w:tcPr>
          <w:p>
            <w:pPr>
              <w:pStyle w:val="17"/>
              <w:jc w:val="center"/>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社会效益指标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促进农业发展多样化</w:t>
            </w:r>
          </w:p>
        </w:tc>
        <w:tc>
          <w:tcPr>
            <w:tcW w:w="2891" w:type="dxa"/>
            <w:vAlign w:val="center"/>
          </w:tcPr>
          <w:p>
            <w:pPr>
              <w:pStyle w:val="17"/>
              <w:jc w:val="center"/>
              <w:rPr>
                <w:rFonts w:ascii="Times New Roman" w:hAnsi="Times New Roman" w:cs="Times New Roman"/>
              </w:rPr>
            </w:pPr>
            <w:r>
              <w:rPr>
                <w:rFonts w:ascii="Times New Roman" w:hAnsi="Times New Roman" w:cs="Times New Roman"/>
              </w:rPr>
              <w:t>是否促进农业多元化发展</w:t>
            </w:r>
          </w:p>
        </w:tc>
        <w:tc>
          <w:tcPr>
            <w:tcW w:w="1276" w:type="dxa"/>
            <w:vAlign w:val="center"/>
          </w:tcPr>
          <w:p>
            <w:pPr>
              <w:pStyle w:val="17"/>
              <w:jc w:val="center"/>
              <w:rPr>
                <w:rFonts w:ascii="Times New Roman" w:hAnsi="Times New Roman" w:cs="Times New Roman"/>
              </w:rPr>
            </w:pPr>
            <w:r>
              <w:rPr>
                <w:rFonts w:ascii="Times New Roman" w:hAnsi="Times New Roman" w:cs="Times New Roman"/>
              </w:rPr>
              <w:t>是</w:t>
            </w:r>
          </w:p>
        </w:tc>
        <w:tc>
          <w:tcPr>
            <w:tcW w:w="1843" w:type="dxa"/>
            <w:vAlign w:val="center"/>
          </w:tcPr>
          <w:p>
            <w:pPr>
              <w:pStyle w:val="17"/>
              <w:jc w:val="center"/>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可持续影响指标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两个基地正常运行时间</w:t>
            </w:r>
          </w:p>
        </w:tc>
        <w:tc>
          <w:tcPr>
            <w:tcW w:w="2891" w:type="dxa"/>
            <w:vAlign w:val="center"/>
          </w:tcPr>
          <w:p>
            <w:pPr>
              <w:pStyle w:val="17"/>
              <w:jc w:val="center"/>
              <w:rPr>
                <w:rFonts w:ascii="Times New Roman" w:hAnsi="Times New Roman" w:cs="Times New Roman"/>
              </w:rPr>
            </w:pPr>
            <w:r>
              <w:rPr>
                <w:rFonts w:ascii="Times New Roman" w:hAnsi="Times New Roman" w:cs="Times New Roman"/>
              </w:rPr>
              <w:t>维护基地正常运行时间情况</w:t>
            </w:r>
          </w:p>
        </w:tc>
        <w:tc>
          <w:tcPr>
            <w:tcW w:w="1276" w:type="dxa"/>
            <w:vAlign w:val="center"/>
          </w:tcPr>
          <w:p>
            <w:pPr>
              <w:pStyle w:val="17"/>
              <w:jc w:val="center"/>
              <w:rPr>
                <w:rFonts w:ascii="Times New Roman" w:hAnsi="Times New Roman" w:cs="Times New Roman"/>
              </w:rPr>
            </w:pPr>
            <w:r>
              <w:rPr>
                <w:rFonts w:ascii="Times New Roman" w:hAnsi="Times New Roman" w:cs="Times New Roman"/>
              </w:rPr>
              <w:t>≥1年</w:t>
            </w:r>
          </w:p>
        </w:tc>
        <w:tc>
          <w:tcPr>
            <w:tcW w:w="1843" w:type="dxa"/>
            <w:vAlign w:val="center"/>
          </w:tcPr>
          <w:p>
            <w:pPr>
              <w:pStyle w:val="17"/>
              <w:jc w:val="center"/>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8"/>
              <w:jc w:val="center"/>
              <w:rPr>
                <w:rFonts w:ascii="Times New Roman" w:hAnsi="Times New Roman" w:cs="Times New Roman"/>
              </w:rPr>
            </w:pPr>
            <w:r>
              <w:rPr>
                <w:rFonts w:ascii="Times New Roman" w:hAnsi="Times New Roman" w:cs="Times New Roman"/>
              </w:rPr>
              <w:t>满意度指标</w:t>
            </w:r>
          </w:p>
        </w:tc>
        <w:tc>
          <w:tcPr>
            <w:tcW w:w="1276" w:type="dxa"/>
            <w:vAlign w:val="center"/>
          </w:tcPr>
          <w:p>
            <w:pPr>
              <w:pStyle w:val="17"/>
              <w:jc w:val="center"/>
              <w:rPr>
                <w:rFonts w:ascii="Times New Roman" w:hAnsi="Times New Roman" w:cs="Times New Roman"/>
              </w:rPr>
            </w:pPr>
            <w:r>
              <w:rPr>
                <w:rFonts w:ascii="Times New Roman" w:hAnsi="Times New Roman" w:cs="Times New Roman"/>
              </w:rPr>
              <w:t>服务对象满意度指标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接受服务农户和使用人员满意度</w:t>
            </w:r>
          </w:p>
        </w:tc>
        <w:tc>
          <w:tcPr>
            <w:tcW w:w="2891" w:type="dxa"/>
            <w:vAlign w:val="center"/>
          </w:tcPr>
          <w:p>
            <w:pPr>
              <w:pStyle w:val="17"/>
              <w:jc w:val="center"/>
              <w:rPr>
                <w:rFonts w:ascii="Times New Roman" w:hAnsi="Times New Roman" w:cs="Times New Roman"/>
              </w:rPr>
            </w:pPr>
            <w:r>
              <w:rPr>
                <w:rFonts w:ascii="Times New Roman" w:hAnsi="Times New Roman" w:cs="Times New Roman"/>
              </w:rPr>
              <w:t>接受服务农户和基地使用人员的满意度情况</w:t>
            </w:r>
          </w:p>
        </w:tc>
        <w:tc>
          <w:tcPr>
            <w:tcW w:w="1276" w:type="dxa"/>
            <w:vAlign w:val="center"/>
          </w:tcPr>
          <w:p>
            <w:pPr>
              <w:pStyle w:val="17"/>
              <w:jc w:val="center"/>
              <w:rPr>
                <w:rFonts w:ascii="Times New Roman" w:hAnsi="Times New Roman" w:cs="Times New Roman"/>
              </w:rPr>
            </w:pPr>
            <w:r>
              <w:rPr>
                <w:rFonts w:ascii="Times New Roman" w:hAnsi="Times New Roman" w:cs="Times New Roman"/>
              </w:rPr>
              <w:t>≥95百分比</w:t>
            </w:r>
          </w:p>
        </w:tc>
        <w:tc>
          <w:tcPr>
            <w:tcW w:w="1843" w:type="dxa"/>
            <w:vAlign w:val="center"/>
          </w:tcPr>
          <w:p>
            <w:pPr>
              <w:pStyle w:val="17"/>
              <w:jc w:val="center"/>
              <w:rPr>
                <w:rFonts w:ascii="Times New Roman" w:hAnsi="Times New Roman" w:cs="Times New Roman"/>
              </w:rPr>
            </w:pPr>
            <w:r>
              <w:rPr>
                <w:rFonts w:ascii="Times New Roman" w:hAnsi="Times New Roman" w:cs="Times New Roman"/>
              </w:rPr>
              <w:t>计划标准</w:t>
            </w:r>
          </w:p>
        </w:tc>
      </w:tr>
    </w:tbl>
    <w:p/>
    <w:p>
      <w:pPr>
        <w:spacing w:before="0" w:after="0" w:line="2" w:lineRule="exact"/>
        <w:ind w:firstLine="0"/>
        <w:jc w:val="center"/>
        <w:outlineLvl w:val="9"/>
        <w:sectPr>
          <w:pgSz w:w="16840" w:h="11900" w:orient="landscape"/>
          <w:pgMar w:top="1304" w:right="1984" w:bottom="1304" w:left="1134" w:header="720" w:footer="720" w:gutter="0"/>
          <w:cols w:space="720" w:num="1"/>
        </w:sectPr>
      </w:pPr>
      <w:r>
        <w:rPr>
          <w:rFonts w:ascii="方正书宋_GBK" w:hAnsi="方正书宋_GBK" w:eastAsia="方正书宋_GBK" w:cs="方正书宋_GBK"/>
          <w:color w:val="000000"/>
          <w:sz w:val="21"/>
        </w:rPr>
        <w:t xml:space="preserve"> </w:t>
      </w:r>
    </w:p>
    <w:p>
      <w:pPr>
        <w:numPr>
          <w:ilvl w:val="0"/>
          <w:numId w:val="0"/>
        </w:numPr>
        <w:jc w:val="left"/>
        <w:outlineLvl w:val="1"/>
        <w:rPr>
          <w:rFonts w:ascii="Times New Roman" w:hAnsi="Times New Roman" w:eastAsia="仿宋_GB2312" w:cs="Times New Roman"/>
          <w:sz w:val="28"/>
        </w:rPr>
      </w:pPr>
      <w:bookmarkStart w:id="2" w:name="_Toc_4_4_0000000005"/>
    </w:p>
    <w:p>
      <w:pPr>
        <w:ind w:firstLine="1304" w:firstLineChars="466"/>
        <w:outlineLvl w:val="3"/>
      </w:pPr>
      <w:r>
        <w:rPr>
          <w:rFonts w:eastAsia="方正仿宋_GBK"/>
          <w:color w:val="000000"/>
          <w:sz w:val="28"/>
        </w:rPr>
        <w:t>2.2022年省级支持市县科技创新和科学普及专项资金（科技特派员工作室经费）（冀财教〔2021〕175号）绩效目标表</w:t>
      </w:r>
    </w:p>
    <w:tbl>
      <w:tblPr>
        <w:tblStyle w:val="11"/>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21"/>
              <w:rPr>
                <w:rFonts w:ascii="Times New Roman" w:hAnsi="Times New Roman" w:cs="Times New Roman"/>
              </w:rPr>
            </w:pPr>
            <w:r>
              <w:rPr>
                <w:rFonts w:ascii="Times New Roman" w:hAnsi="Times New Roman" w:cs="Times New Roman"/>
              </w:rPr>
              <w:t>485001廊坊市农林科学院本级</w:t>
            </w:r>
          </w:p>
        </w:tc>
        <w:tc>
          <w:tcPr>
            <w:tcW w:w="1843" w:type="dxa"/>
            <w:tcBorders>
              <w:top w:val="single" w:color="FFFFFF" w:sz="6" w:space="0"/>
              <w:left w:val="single" w:color="FFFFFF" w:sz="6" w:space="0"/>
              <w:right w:val="single" w:color="FFFFFF" w:sz="6" w:space="0"/>
            </w:tcBorders>
            <w:vAlign w:val="center"/>
          </w:tcPr>
          <w:p>
            <w:pPr>
              <w:pStyle w:val="16"/>
              <w:rPr>
                <w:rFonts w:ascii="Times New Roman" w:hAnsi="Times New Roman" w:cs="Times New Roman"/>
              </w:rPr>
            </w:pPr>
            <w:r>
              <w:rPr>
                <w:rFonts w:ascii="Times New Roman" w:hAnsi="Times New Roman" w:cs="Times New Roman"/>
              </w:rP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rPr>
                <w:rFonts w:ascii="Times New Roman" w:hAnsi="Times New Roman" w:cs="Times New Roman"/>
              </w:rPr>
            </w:pPr>
            <w:r>
              <w:rPr>
                <w:rFonts w:ascii="Times New Roman" w:hAnsi="Times New Roman" w:cs="Times New Roman"/>
              </w:rPr>
              <w:t>项目编码</w:t>
            </w:r>
          </w:p>
        </w:tc>
        <w:tc>
          <w:tcPr>
            <w:tcW w:w="2608" w:type="dxa"/>
            <w:gridSpan w:val="2"/>
            <w:vAlign w:val="center"/>
          </w:tcPr>
          <w:p>
            <w:pPr>
              <w:pStyle w:val="17"/>
              <w:rPr>
                <w:rFonts w:ascii="Times New Roman" w:hAnsi="Times New Roman" w:cs="Times New Roman"/>
              </w:rPr>
            </w:pPr>
            <w:r>
              <w:rPr>
                <w:rFonts w:ascii="Times New Roman" w:hAnsi="Times New Roman" w:cs="Times New Roman"/>
              </w:rPr>
              <w:t>13100022P00344810002M</w:t>
            </w:r>
          </w:p>
        </w:tc>
        <w:tc>
          <w:tcPr>
            <w:tcW w:w="1587" w:type="dxa"/>
            <w:vAlign w:val="center"/>
          </w:tcPr>
          <w:p>
            <w:pPr>
              <w:pStyle w:val="15"/>
              <w:rPr>
                <w:rFonts w:ascii="Times New Roman" w:hAnsi="Times New Roman" w:cs="Times New Roman"/>
              </w:rPr>
            </w:pPr>
            <w:r>
              <w:rPr>
                <w:rFonts w:ascii="Times New Roman" w:hAnsi="Times New Roman" w:cs="Times New Roman"/>
              </w:rPr>
              <w:t>项目名称</w:t>
            </w:r>
          </w:p>
        </w:tc>
        <w:tc>
          <w:tcPr>
            <w:tcW w:w="4422" w:type="dxa"/>
            <w:gridSpan w:val="3"/>
            <w:vAlign w:val="center"/>
          </w:tcPr>
          <w:p>
            <w:pPr>
              <w:pStyle w:val="17"/>
              <w:rPr>
                <w:rFonts w:ascii="Times New Roman" w:hAnsi="Times New Roman" w:cs="Times New Roman"/>
              </w:rPr>
            </w:pPr>
            <w:r>
              <w:rPr>
                <w:rFonts w:ascii="Times New Roman" w:hAnsi="Times New Roman" w:cs="Times New Roman"/>
              </w:rPr>
              <w:t>2022年省级支持市县科技创新和科学普及专项资金（科技特派员工作室经费）（冀财教〔2021〕175号）</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rPr>
                <w:rFonts w:ascii="Times New Roman" w:hAnsi="Times New Roman" w:cs="Times New Roman"/>
              </w:rPr>
            </w:pPr>
            <w:r>
              <w:rPr>
                <w:rFonts w:ascii="Times New Roman" w:hAnsi="Times New Roman" w:cs="Times New Roman"/>
              </w:rPr>
              <w:t>预算规模及资金用途</w:t>
            </w:r>
          </w:p>
        </w:tc>
        <w:tc>
          <w:tcPr>
            <w:tcW w:w="1276" w:type="dxa"/>
            <w:vAlign w:val="center"/>
          </w:tcPr>
          <w:p>
            <w:pPr>
              <w:pStyle w:val="15"/>
              <w:rPr>
                <w:rFonts w:ascii="Times New Roman" w:hAnsi="Times New Roman" w:cs="Times New Roman"/>
              </w:rPr>
            </w:pPr>
            <w:r>
              <w:rPr>
                <w:rFonts w:ascii="Times New Roman" w:hAnsi="Times New Roman" w:cs="Times New Roman"/>
              </w:rPr>
              <w:t>预算数</w:t>
            </w:r>
          </w:p>
        </w:tc>
        <w:tc>
          <w:tcPr>
            <w:tcW w:w="1332" w:type="dxa"/>
            <w:vAlign w:val="center"/>
          </w:tcPr>
          <w:p>
            <w:pPr>
              <w:pStyle w:val="17"/>
              <w:rPr>
                <w:rFonts w:ascii="Times New Roman" w:hAnsi="Times New Roman" w:cs="Times New Roman"/>
              </w:rPr>
            </w:pPr>
            <w:r>
              <w:rPr>
                <w:rFonts w:ascii="Times New Roman" w:hAnsi="Times New Roman" w:cs="Times New Roman"/>
              </w:rPr>
              <w:t>5.00</w:t>
            </w:r>
          </w:p>
        </w:tc>
        <w:tc>
          <w:tcPr>
            <w:tcW w:w="1587" w:type="dxa"/>
            <w:vAlign w:val="center"/>
          </w:tcPr>
          <w:p>
            <w:pPr>
              <w:pStyle w:val="15"/>
              <w:rPr>
                <w:rFonts w:ascii="Times New Roman" w:hAnsi="Times New Roman" w:cs="Times New Roman"/>
              </w:rPr>
            </w:pPr>
            <w:r>
              <w:rPr>
                <w:rFonts w:ascii="Times New Roman" w:hAnsi="Times New Roman" w:cs="Times New Roman"/>
              </w:rPr>
              <w:t>其中：财政    资金</w:t>
            </w:r>
          </w:p>
        </w:tc>
        <w:tc>
          <w:tcPr>
            <w:tcW w:w="1304" w:type="dxa"/>
            <w:vAlign w:val="center"/>
          </w:tcPr>
          <w:p>
            <w:pPr>
              <w:pStyle w:val="17"/>
              <w:rPr>
                <w:rFonts w:ascii="Times New Roman" w:hAnsi="Times New Roman" w:cs="Times New Roman"/>
              </w:rPr>
            </w:pPr>
            <w:r>
              <w:rPr>
                <w:rFonts w:ascii="Times New Roman" w:hAnsi="Times New Roman" w:cs="Times New Roman"/>
              </w:rPr>
              <w:t>5.00</w:t>
            </w:r>
          </w:p>
        </w:tc>
        <w:tc>
          <w:tcPr>
            <w:tcW w:w="1276" w:type="dxa"/>
            <w:vAlign w:val="center"/>
          </w:tcPr>
          <w:p>
            <w:pPr>
              <w:pStyle w:val="15"/>
              <w:rPr>
                <w:rFonts w:ascii="Times New Roman" w:hAnsi="Times New Roman" w:cs="Times New Roman"/>
              </w:rPr>
            </w:pPr>
            <w:r>
              <w:rPr>
                <w:rFonts w:ascii="Times New Roman" w:hAnsi="Times New Roman" w:cs="Times New Roman"/>
              </w:rPr>
              <w:t>其他资金</w:t>
            </w:r>
          </w:p>
        </w:tc>
        <w:tc>
          <w:tcPr>
            <w:tcW w:w="1843" w:type="dxa"/>
            <w:vAlign w:val="center"/>
          </w:tcPr>
          <w:p>
            <w:pPr>
              <w:pStyle w:val="17"/>
              <w:rPr>
                <w:rFonts w:ascii="Times New Roman" w:hAnsi="Times New Roman" w:cs="Times New Roman"/>
              </w:rPr>
            </w:pPr>
            <w:r>
              <w:rPr>
                <w:rFonts w:ascii="Times New Roman" w:hAnsi="Times New Roman" w:cs="Times New Roman"/>
              </w:rP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17"/>
              <w:rPr>
                <w:rFonts w:ascii="Times New Roman" w:hAnsi="Times New Roman" w:cs="Times New Roman"/>
              </w:rPr>
            </w:pPr>
            <w:r>
              <w:rPr>
                <w:rFonts w:ascii="Times New Roman" w:hAnsi="Times New Roman" w:cs="Times New Roman"/>
              </w:rPr>
              <w:t>该经费主要用于工作室在科技特派员工作管理及服务中发生的费用。</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rPr>
                <w:rFonts w:ascii="Times New Roman" w:hAnsi="Times New Roman" w:cs="Times New Roman"/>
              </w:rPr>
            </w:pPr>
            <w:r>
              <w:rPr>
                <w:rFonts w:ascii="Times New Roman" w:hAnsi="Times New Roman" w:cs="Times New Roman"/>
              </w:rPr>
              <w:t>资金支出计划（%）</w:t>
            </w:r>
          </w:p>
        </w:tc>
        <w:tc>
          <w:tcPr>
            <w:tcW w:w="2608" w:type="dxa"/>
            <w:gridSpan w:val="2"/>
            <w:vAlign w:val="center"/>
          </w:tcPr>
          <w:p>
            <w:pPr>
              <w:pStyle w:val="15"/>
              <w:rPr>
                <w:rFonts w:ascii="Times New Roman" w:hAnsi="Times New Roman" w:cs="Times New Roman"/>
              </w:rPr>
            </w:pPr>
            <w:r>
              <w:rPr>
                <w:rFonts w:ascii="Times New Roman" w:hAnsi="Times New Roman" w:cs="Times New Roman"/>
              </w:rPr>
              <w:t>3月底</w:t>
            </w:r>
          </w:p>
        </w:tc>
        <w:tc>
          <w:tcPr>
            <w:tcW w:w="1587" w:type="dxa"/>
            <w:vAlign w:val="center"/>
          </w:tcPr>
          <w:p>
            <w:pPr>
              <w:pStyle w:val="15"/>
              <w:rPr>
                <w:rFonts w:ascii="Times New Roman" w:hAnsi="Times New Roman" w:cs="Times New Roman"/>
              </w:rPr>
            </w:pPr>
            <w:r>
              <w:rPr>
                <w:rFonts w:ascii="Times New Roman" w:hAnsi="Times New Roman" w:cs="Times New Roman"/>
              </w:rPr>
              <w:t>6月底</w:t>
            </w:r>
          </w:p>
        </w:tc>
        <w:tc>
          <w:tcPr>
            <w:tcW w:w="1304" w:type="dxa"/>
            <w:vAlign w:val="center"/>
          </w:tcPr>
          <w:p>
            <w:pPr>
              <w:pStyle w:val="15"/>
              <w:rPr>
                <w:rFonts w:ascii="Times New Roman" w:hAnsi="Times New Roman" w:cs="Times New Roman"/>
              </w:rPr>
            </w:pPr>
            <w:r>
              <w:rPr>
                <w:rFonts w:ascii="Times New Roman" w:hAnsi="Times New Roman" w:cs="Times New Roman"/>
              </w:rPr>
              <w:t>10月底</w:t>
            </w:r>
          </w:p>
        </w:tc>
        <w:tc>
          <w:tcPr>
            <w:tcW w:w="3118" w:type="dxa"/>
            <w:gridSpan w:val="2"/>
            <w:vAlign w:val="center"/>
          </w:tcPr>
          <w:p>
            <w:pPr>
              <w:pStyle w:val="15"/>
              <w:rPr>
                <w:rFonts w:ascii="Times New Roman" w:hAnsi="Times New Roman" w:cs="Times New Roman"/>
              </w:rPr>
            </w:pPr>
            <w:r>
              <w:rPr>
                <w:rFonts w:ascii="Times New Roman" w:hAnsi="Times New Roman" w:cs="Times New Roman"/>
              </w:rP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18"/>
              <w:rPr>
                <w:rFonts w:ascii="Times New Roman" w:hAnsi="Times New Roman" w:cs="Times New Roman"/>
              </w:rPr>
            </w:pPr>
            <w:r>
              <w:rPr>
                <w:rFonts w:ascii="Times New Roman" w:hAnsi="Times New Roman" w:cs="Times New Roman"/>
              </w:rPr>
              <w:t>30%</w:t>
            </w:r>
          </w:p>
        </w:tc>
        <w:tc>
          <w:tcPr>
            <w:tcW w:w="1587" w:type="dxa"/>
            <w:vAlign w:val="center"/>
          </w:tcPr>
          <w:p>
            <w:pPr>
              <w:pStyle w:val="18"/>
              <w:rPr>
                <w:rFonts w:ascii="Times New Roman" w:hAnsi="Times New Roman" w:cs="Times New Roman"/>
              </w:rPr>
            </w:pPr>
            <w:r>
              <w:rPr>
                <w:rFonts w:ascii="Times New Roman" w:hAnsi="Times New Roman" w:cs="Times New Roman"/>
              </w:rPr>
              <w:t>60%</w:t>
            </w:r>
          </w:p>
        </w:tc>
        <w:tc>
          <w:tcPr>
            <w:tcW w:w="1304" w:type="dxa"/>
            <w:vAlign w:val="center"/>
          </w:tcPr>
          <w:p>
            <w:pPr>
              <w:pStyle w:val="18"/>
              <w:rPr>
                <w:rFonts w:ascii="Times New Roman" w:hAnsi="Times New Roman" w:cs="Times New Roman"/>
              </w:rPr>
            </w:pPr>
            <w:r>
              <w:rPr>
                <w:rFonts w:ascii="Times New Roman" w:hAnsi="Times New Roman" w:cs="Times New Roman"/>
              </w:rPr>
              <w:t>100%</w:t>
            </w:r>
          </w:p>
        </w:tc>
        <w:tc>
          <w:tcPr>
            <w:tcW w:w="3118" w:type="dxa"/>
            <w:gridSpan w:val="2"/>
            <w:vAlign w:val="center"/>
          </w:tcPr>
          <w:p>
            <w:pPr>
              <w:pStyle w:val="18"/>
              <w:rPr>
                <w:rFonts w:ascii="Times New Roman" w:hAnsi="Times New Roman" w:cs="Times New Roman"/>
              </w:rPr>
            </w:pPr>
            <w:r>
              <w:rPr>
                <w:rFonts w:ascii="Times New Roman" w:hAnsi="Times New Roman" w:cs="Times New Roman"/>
              </w:rP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rPr>
                <w:rFonts w:ascii="Times New Roman" w:hAnsi="Times New Roman" w:cs="Times New Roman"/>
              </w:rPr>
            </w:pPr>
            <w:r>
              <w:rPr>
                <w:rFonts w:ascii="Times New Roman" w:hAnsi="Times New Roman" w:cs="Times New Roman"/>
              </w:rPr>
              <w:t>绩效目标</w:t>
            </w:r>
          </w:p>
        </w:tc>
        <w:tc>
          <w:tcPr>
            <w:tcW w:w="8617" w:type="dxa"/>
            <w:gridSpan w:val="6"/>
            <w:vAlign w:val="center"/>
          </w:tcPr>
          <w:p>
            <w:pPr>
              <w:pStyle w:val="17"/>
              <w:rPr>
                <w:rFonts w:ascii="Times New Roman" w:hAnsi="Times New Roman" w:cs="Times New Roman"/>
              </w:rPr>
            </w:pPr>
            <w:r>
              <w:rPr>
                <w:rFonts w:ascii="Times New Roman" w:hAnsi="Times New Roman" w:cs="Times New Roman"/>
              </w:rPr>
              <w:t>1.成立科技特派员工作室1个</w:t>
            </w:r>
          </w:p>
          <w:p>
            <w:pPr>
              <w:pStyle w:val="17"/>
              <w:rPr>
                <w:rFonts w:ascii="Times New Roman" w:hAnsi="Times New Roman" w:cs="Times New Roman"/>
              </w:rPr>
            </w:pPr>
            <w:r>
              <w:rPr>
                <w:rFonts w:ascii="Times New Roman" w:hAnsi="Times New Roman" w:cs="Times New Roman"/>
              </w:rPr>
              <w:t>2.通过向对接企业提供技术指导,提升其科技获得感</w:t>
            </w:r>
          </w:p>
        </w:tc>
      </w:tr>
    </w:tbl>
    <w:p>
      <w:pPr>
        <w:spacing w:line="2" w:lineRule="exact"/>
        <w:jc w:val="center"/>
      </w:pPr>
      <w:r>
        <w:rPr>
          <w:rFonts w:eastAsia="方正书宋_GBK"/>
          <w:color w:val="000000"/>
          <w:sz w:val="21"/>
        </w:rPr>
        <w:t xml:space="preserve"> </w:t>
      </w:r>
    </w:p>
    <w:tbl>
      <w:tblPr>
        <w:tblStyle w:val="11"/>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898"/>
        <w:gridCol w:w="2325"/>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5"/>
              <w:rPr>
                <w:rFonts w:ascii="Times New Roman" w:hAnsi="Times New Roman" w:cs="Times New Roman"/>
              </w:rPr>
            </w:pPr>
            <w:r>
              <w:rPr>
                <w:rFonts w:ascii="Times New Roman" w:hAnsi="Times New Roman" w:cs="Times New Roman"/>
              </w:rPr>
              <w:t>一级指标</w:t>
            </w:r>
          </w:p>
        </w:tc>
        <w:tc>
          <w:tcPr>
            <w:tcW w:w="1276" w:type="dxa"/>
            <w:vAlign w:val="center"/>
          </w:tcPr>
          <w:p>
            <w:pPr>
              <w:pStyle w:val="15"/>
              <w:rPr>
                <w:rFonts w:ascii="Times New Roman" w:hAnsi="Times New Roman" w:cs="Times New Roman"/>
              </w:rPr>
            </w:pPr>
            <w:r>
              <w:rPr>
                <w:rFonts w:ascii="Times New Roman" w:hAnsi="Times New Roman" w:cs="Times New Roman"/>
              </w:rPr>
              <w:t>二级指标</w:t>
            </w:r>
          </w:p>
        </w:tc>
        <w:tc>
          <w:tcPr>
            <w:tcW w:w="1898" w:type="dxa"/>
            <w:vAlign w:val="center"/>
          </w:tcPr>
          <w:p>
            <w:pPr>
              <w:pStyle w:val="15"/>
              <w:rPr>
                <w:rFonts w:ascii="Times New Roman" w:hAnsi="Times New Roman" w:cs="Times New Roman"/>
              </w:rPr>
            </w:pPr>
            <w:r>
              <w:rPr>
                <w:rFonts w:ascii="Times New Roman" w:hAnsi="Times New Roman" w:cs="Times New Roman"/>
              </w:rPr>
              <w:t>三级指标</w:t>
            </w:r>
          </w:p>
        </w:tc>
        <w:tc>
          <w:tcPr>
            <w:tcW w:w="2325" w:type="dxa"/>
            <w:vAlign w:val="center"/>
          </w:tcPr>
          <w:p>
            <w:pPr>
              <w:pStyle w:val="15"/>
              <w:rPr>
                <w:rFonts w:ascii="Times New Roman" w:hAnsi="Times New Roman" w:cs="Times New Roman"/>
              </w:rPr>
            </w:pPr>
            <w:r>
              <w:rPr>
                <w:rFonts w:ascii="Times New Roman" w:hAnsi="Times New Roman" w:cs="Times New Roman"/>
              </w:rPr>
              <w:t>绩效指标描述</w:t>
            </w:r>
          </w:p>
        </w:tc>
        <w:tc>
          <w:tcPr>
            <w:tcW w:w="1276" w:type="dxa"/>
            <w:vAlign w:val="center"/>
          </w:tcPr>
          <w:p>
            <w:pPr>
              <w:pStyle w:val="15"/>
              <w:rPr>
                <w:rFonts w:ascii="Times New Roman" w:hAnsi="Times New Roman" w:cs="Times New Roman"/>
              </w:rPr>
            </w:pPr>
            <w:r>
              <w:rPr>
                <w:rFonts w:ascii="Times New Roman" w:hAnsi="Times New Roman" w:cs="Times New Roman"/>
              </w:rPr>
              <w:t>指标值</w:t>
            </w:r>
          </w:p>
        </w:tc>
        <w:tc>
          <w:tcPr>
            <w:tcW w:w="1843" w:type="dxa"/>
            <w:vAlign w:val="center"/>
          </w:tcPr>
          <w:p>
            <w:pPr>
              <w:pStyle w:val="15"/>
              <w:rPr>
                <w:rFonts w:ascii="Times New Roman" w:hAnsi="Times New Roman" w:cs="Times New Roman"/>
              </w:rPr>
            </w:pPr>
            <w:r>
              <w:rPr>
                <w:rFonts w:ascii="Times New Roman" w:hAnsi="Times New Roman" w:cs="Times New Roman"/>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8"/>
              <w:rPr>
                <w:rFonts w:ascii="Times New Roman" w:hAnsi="Times New Roman" w:cs="Times New Roman"/>
              </w:rPr>
            </w:pPr>
            <w:r>
              <w:rPr>
                <w:rFonts w:ascii="Times New Roman" w:hAnsi="Times New Roman" w:cs="Times New Roman"/>
              </w:rPr>
              <w:t>产出指标</w:t>
            </w:r>
          </w:p>
        </w:tc>
        <w:tc>
          <w:tcPr>
            <w:tcW w:w="1276" w:type="dxa"/>
            <w:vAlign w:val="center"/>
          </w:tcPr>
          <w:p>
            <w:pPr>
              <w:pStyle w:val="17"/>
              <w:rPr>
                <w:rFonts w:ascii="Times New Roman" w:hAnsi="Times New Roman" w:cs="Times New Roman"/>
              </w:rPr>
            </w:pPr>
            <w:r>
              <w:rPr>
                <w:rFonts w:ascii="Times New Roman" w:hAnsi="Times New Roman" w:cs="Times New Roman"/>
              </w:rPr>
              <w:t>数量指标</w:t>
            </w:r>
          </w:p>
        </w:tc>
        <w:tc>
          <w:tcPr>
            <w:tcW w:w="1898" w:type="dxa"/>
            <w:vAlign w:val="center"/>
          </w:tcPr>
          <w:p>
            <w:pPr>
              <w:pStyle w:val="17"/>
              <w:rPr>
                <w:rFonts w:ascii="Times New Roman" w:hAnsi="Times New Roman" w:cs="Times New Roman"/>
              </w:rPr>
            </w:pPr>
            <w:r>
              <w:rPr>
                <w:rFonts w:ascii="Times New Roman" w:hAnsi="Times New Roman" w:cs="Times New Roman"/>
              </w:rPr>
              <w:t>成立工作室数量</w:t>
            </w:r>
          </w:p>
        </w:tc>
        <w:tc>
          <w:tcPr>
            <w:tcW w:w="2325" w:type="dxa"/>
            <w:vAlign w:val="center"/>
          </w:tcPr>
          <w:p>
            <w:pPr>
              <w:pStyle w:val="17"/>
              <w:rPr>
                <w:rFonts w:ascii="Times New Roman" w:hAnsi="Times New Roman" w:cs="Times New Roman"/>
              </w:rPr>
            </w:pPr>
            <w:r>
              <w:rPr>
                <w:rFonts w:ascii="Times New Roman" w:hAnsi="Times New Roman" w:cs="Times New Roman"/>
              </w:rPr>
              <w:t>成立科技特派员工作室数量情况</w:t>
            </w:r>
          </w:p>
        </w:tc>
        <w:tc>
          <w:tcPr>
            <w:tcW w:w="1276" w:type="dxa"/>
            <w:vAlign w:val="center"/>
          </w:tcPr>
          <w:p>
            <w:pPr>
              <w:pStyle w:val="17"/>
              <w:rPr>
                <w:rFonts w:ascii="Times New Roman" w:hAnsi="Times New Roman" w:cs="Times New Roman"/>
              </w:rPr>
            </w:pPr>
            <w:r>
              <w:rPr>
                <w:rFonts w:ascii="Times New Roman" w:hAnsi="Times New Roman" w:cs="Times New Roman"/>
              </w:rPr>
              <w:t>1个</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质量指标</w:t>
            </w:r>
          </w:p>
        </w:tc>
        <w:tc>
          <w:tcPr>
            <w:tcW w:w="1898" w:type="dxa"/>
            <w:vAlign w:val="center"/>
          </w:tcPr>
          <w:p>
            <w:pPr>
              <w:pStyle w:val="17"/>
              <w:rPr>
                <w:rFonts w:ascii="Times New Roman" w:hAnsi="Times New Roman" w:cs="Times New Roman"/>
              </w:rPr>
            </w:pPr>
            <w:r>
              <w:rPr>
                <w:rFonts w:ascii="Times New Roman" w:hAnsi="Times New Roman" w:cs="Times New Roman"/>
              </w:rPr>
              <w:t>购置物品质量合格率</w:t>
            </w:r>
          </w:p>
        </w:tc>
        <w:tc>
          <w:tcPr>
            <w:tcW w:w="2325" w:type="dxa"/>
            <w:vAlign w:val="center"/>
          </w:tcPr>
          <w:p>
            <w:pPr>
              <w:pStyle w:val="17"/>
              <w:rPr>
                <w:rFonts w:ascii="Times New Roman" w:hAnsi="Times New Roman" w:cs="Times New Roman"/>
              </w:rPr>
            </w:pPr>
            <w:r>
              <w:rPr>
                <w:rFonts w:ascii="Times New Roman" w:hAnsi="Times New Roman" w:cs="Times New Roman"/>
              </w:rPr>
              <w:t>购置物品质量合格率</w:t>
            </w:r>
          </w:p>
        </w:tc>
        <w:tc>
          <w:tcPr>
            <w:tcW w:w="1276" w:type="dxa"/>
            <w:vAlign w:val="center"/>
          </w:tcPr>
          <w:p>
            <w:pPr>
              <w:pStyle w:val="17"/>
              <w:rPr>
                <w:rFonts w:ascii="Times New Roman" w:hAnsi="Times New Roman" w:cs="Times New Roman"/>
              </w:rPr>
            </w:pPr>
            <w:r>
              <w:rPr>
                <w:rFonts w:ascii="Times New Roman" w:hAnsi="Times New Roman" w:cs="Times New Roman"/>
              </w:rPr>
              <w:t>100%</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时效指标</w:t>
            </w:r>
          </w:p>
        </w:tc>
        <w:tc>
          <w:tcPr>
            <w:tcW w:w="1898" w:type="dxa"/>
            <w:vAlign w:val="center"/>
          </w:tcPr>
          <w:p>
            <w:pPr>
              <w:pStyle w:val="17"/>
              <w:rPr>
                <w:rFonts w:ascii="Times New Roman" w:hAnsi="Times New Roman" w:cs="Times New Roman"/>
              </w:rPr>
            </w:pPr>
            <w:r>
              <w:rPr>
                <w:rFonts w:ascii="Times New Roman" w:hAnsi="Times New Roman" w:cs="Times New Roman"/>
              </w:rPr>
              <w:t>资金支出及时性</w:t>
            </w:r>
          </w:p>
        </w:tc>
        <w:tc>
          <w:tcPr>
            <w:tcW w:w="2325" w:type="dxa"/>
            <w:vAlign w:val="center"/>
          </w:tcPr>
          <w:p>
            <w:pPr>
              <w:pStyle w:val="17"/>
              <w:rPr>
                <w:rFonts w:ascii="Times New Roman" w:hAnsi="Times New Roman" w:cs="Times New Roman"/>
              </w:rPr>
            </w:pPr>
            <w:r>
              <w:rPr>
                <w:rFonts w:ascii="Times New Roman" w:hAnsi="Times New Roman" w:cs="Times New Roman"/>
              </w:rPr>
              <w:t>资金支出及时性情况</w:t>
            </w:r>
          </w:p>
        </w:tc>
        <w:tc>
          <w:tcPr>
            <w:tcW w:w="1276" w:type="dxa"/>
            <w:vAlign w:val="center"/>
          </w:tcPr>
          <w:p>
            <w:pPr>
              <w:pStyle w:val="17"/>
              <w:rPr>
                <w:rFonts w:ascii="Times New Roman" w:hAnsi="Times New Roman" w:cs="Times New Roman"/>
              </w:rPr>
            </w:pPr>
            <w:r>
              <w:rPr>
                <w:rFonts w:ascii="Times New Roman" w:hAnsi="Times New Roman" w:cs="Times New Roman"/>
              </w:rPr>
              <w:t>及时</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成本指标</w:t>
            </w:r>
          </w:p>
        </w:tc>
        <w:tc>
          <w:tcPr>
            <w:tcW w:w="1898" w:type="dxa"/>
            <w:vAlign w:val="center"/>
          </w:tcPr>
          <w:p>
            <w:pPr>
              <w:pStyle w:val="17"/>
              <w:rPr>
                <w:rFonts w:ascii="Times New Roman" w:hAnsi="Times New Roman" w:cs="Times New Roman"/>
              </w:rPr>
            </w:pPr>
            <w:r>
              <w:rPr>
                <w:rFonts w:ascii="Times New Roman" w:hAnsi="Times New Roman" w:cs="Times New Roman"/>
              </w:rPr>
              <w:t>资金总成本控制</w:t>
            </w:r>
          </w:p>
        </w:tc>
        <w:tc>
          <w:tcPr>
            <w:tcW w:w="2325" w:type="dxa"/>
            <w:vAlign w:val="center"/>
          </w:tcPr>
          <w:p>
            <w:pPr>
              <w:pStyle w:val="17"/>
              <w:rPr>
                <w:rFonts w:ascii="Times New Roman" w:hAnsi="Times New Roman" w:cs="Times New Roman"/>
              </w:rPr>
            </w:pPr>
            <w:r>
              <w:rPr>
                <w:rFonts w:ascii="Times New Roman" w:hAnsi="Times New Roman" w:cs="Times New Roman"/>
              </w:rPr>
              <w:t>资金总成本控制</w:t>
            </w:r>
          </w:p>
        </w:tc>
        <w:tc>
          <w:tcPr>
            <w:tcW w:w="1276" w:type="dxa"/>
            <w:vAlign w:val="center"/>
          </w:tcPr>
          <w:p>
            <w:pPr>
              <w:pStyle w:val="17"/>
              <w:rPr>
                <w:rFonts w:ascii="Times New Roman" w:hAnsi="Times New Roman" w:cs="Times New Roman"/>
              </w:rPr>
            </w:pPr>
            <w:r>
              <w:rPr>
                <w:rFonts w:ascii="Times New Roman" w:hAnsi="Times New Roman" w:cs="Times New Roman"/>
              </w:rPr>
              <w:t>≤5万元</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8"/>
              <w:rPr>
                <w:rFonts w:ascii="Times New Roman" w:hAnsi="Times New Roman" w:cs="Times New Roman"/>
              </w:rPr>
            </w:pPr>
            <w:r>
              <w:rPr>
                <w:rFonts w:ascii="Times New Roman" w:hAnsi="Times New Roman" w:cs="Times New Roman"/>
              </w:rPr>
              <w:t>效益指标</w:t>
            </w:r>
          </w:p>
        </w:tc>
        <w:tc>
          <w:tcPr>
            <w:tcW w:w="1276" w:type="dxa"/>
            <w:vAlign w:val="center"/>
          </w:tcPr>
          <w:p>
            <w:pPr>
              <w:pStyle w:val="17"/>
              <w:rPr>
                <w:rFonts w:ascii="Times New Roman" w:hAnsi="Times New Roman" w:cs="Times New Roman"/>
              </w:rPr>
            </w:pPr>
            <w:r>
              <w:rPr>
                <w:rFonts w:ascii="Times New Roman" w:hAnsi="Times New Roman" w:cs="Times New Roman"/>
              </w:rPr>
              <w:t>社会效益指标</w:t>
            </w:r>
          </w:p>
        </w:tc>
        <w:tc>
          <w:tcPr>
            <w:tcW w:w="1898" w:type="dxa"/>
            <w:vAlign w:val="center"/>
          </w:tcPr>
          <w:p>
            <w:pPr>
              <w:pStyle w:val="17"/>
              <w:rPr>
                <w:rFonts w:ascii="Times New Roman" w:hAnsi="Times New Roman" w:cs="Times New Roman"/>
              </w:rPr>
            </w:pPr>
            <w:r>
              <w:rPr>
                <w:rFonts w:ascii="Times New Roman" w:hAnsi="Times New Roman" w:cs="Times New Roman"/>
              </w:rPr>
              <w:t>提升对接企业科技获得感</w:t>
            </w:r>
          </w:p>
        </w:tc>
        <w:tc>
          <w:tcPr>
            <w:tcW w:w="2325" w:type="dxa"/>
            <w:vAlign w:val="center"/>
          </w:tcPr>
          <w:p>
            <w:pPr>
              <w:pStyle w:val="17"/>
              <w:rPr>
                <w:rFonts w:ascii="Times New Roman" w:hAnsi="Times New Roman" w:cs="Times New Roman"/>
              </w:rPr>
            </w:pPr>
            <w:r>
              <w:rPr>
                <w:rFonts w:ascii="Times New Roman" w:hAnsi="Times New Roman" w:cs="Times New Roman"/>
              </w:rPr>
              <w:t>提升对接企业科技获得感情况</w:t>
            </w:r>
          </w:p>
        </w:tc>
        <w:tc>
          <w:tcPr>
            <w:tcW w:w="1276" w:type="dxa"/>
            <w:vAlign w:val="center"/>
          </w:tcPr>
          <w:p>
            <w:pPr>
              <w:pStyle w:val="17"/>
              <w:rPr>
                <w:rFonts w:ascii="Times New Roman" w:hAnsi="Times New Roman" w:cs="Times New Roman"/>
              </w:rPr>
            </w:pPr>
            <w:r>
              <w:rPr>
                <w:rFonts w:ascii="Times New Roman" w:hAnsi="Times New Roman" w:cs="Times New Roman"/>
              </w:rPr>
              <w:t>提升</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8"/>
              <w:rPr>
                <w:rFonts w:ascii="Times New Roman" w:hAnsi="Times New Roman" w:cs="Times New Roman"/>
              </w:rPr>
            </w:pPr>
            <w:r>
              <w:rPr>
                <w:rFonts w:ascii="Times New Roman" w:hAnsi="Times New Roman" w:cs="Times New Roman"/>
              </w:rPr>
              <w:t>满意度指标</w:t>
            </w:r>
          </w:p>
        </w:tc>
        <w:tc>
          <w:tcPr>
            <w:tcW w:w="1276" w:type="dxa"/>
            <w:vAlign w:val="center"/>
          </w:tcPr>
          <w:p>
            <w:pPr>
              <w:pStyle w:val="17"/>
              <w:rPr>
                <w:rFonts w:ascii="Times New Roman" w:hAnsi="Times New Roman" w:cs="Times New Roman"/>
              </w:rPr>
            </w:pPr>
            <w:r>
              <w:rPr>
                <w:rFonts w:ascii="Times New Roman" w:hAnsi="Times New Roman" w:cs="Times New Roman"/>
              </w:rPr>
              <w:t>服务对象满意度指标</w:t>
            </w:r>
          </w:p>
        </w:tc>
        <w:tc>
          <w:tcPr>
            <w:tcW w:w="1898" w:type="dxa"/>
            <w:vAlign w:val="center"/>
          </w:tcPr>
          <w:p>
            <w:pPr>
              <w:pStyle w:val="17"/>
              <w:rPr>
                <w:rFonts w:ascii="Times New Roman" w:hAnsi="Times New Roman" w:cs="Times New Roman"/>
              </w:rPr>
            </w:pPr>
            <w:r>
              <w:rPr>
                <w:rFonts w:ascii="Times New Roman" w:hAnsi="Times New Roman" w:cs="Times New Roman"/>
              </w:rPr>
              <w:t>科技特派员对工作室的满意度</w:t>
            </w:r>
          </w:p>
        </w:tc>
        <w:tc>
          <w:tcPr>
            <w:tcW w:w="2325" w:type="dxa"/>
            <w:vAlign w:val="center"/>
          </w:tcPr>
          <w:p>
            <w:pPr>
              <w:pStyle w:val="17"/>
              <w:rPr>
                <w:rFonts w:ascii="Times New Roman" w:hAnsi="Times New Roman" w:cs="Times New Roman"/>
              </w:rPr>
            </w:pPr>
            <w:r>
              <w:rPr>
                <w:rFonts w:ascii="Times New Roman" w:hAnsi="Times New Roman" w:cs="Times New Roman"/>
              </w:rPr>
              <w:t>科技特派员对工作室的满意度</w:t>
            </w:r>
          </w:p>
        </w:tc>
        <w:tc>
          <w:tcPr>
            <w:tcW w:w="1276" w:type="dxa"/>
            <w:vAlign w:val="center"/>
          </w:tcPr>
          <w:p>
            <w:pPr>
              <w:pStyle w:val="17"/>
              <w:rPr>
                <w:rFonts w:ascii="Times New Roman" w:hAnsi="Times New Roman" w:cs="Times New Roman"/>
              </w:rPr>
            </w:pPr>
            <w:r>
              <w:rPr>
                <w:rFonts w:ascii="Times New Roman" w:hAnsi="Times New Roman" w:cs="Times New Roman"/>
              </w:rPr>
              <w:t>≥95%</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bl>
    <w:p>
      <w:pPr>
        <w:numPr>
          <w:ilvl w:val="0"/>
          <w:numId w:val="0"/>
        </w:numPr>
        <w:jc w:val="left"/>
        <w:outlineLvl w:val="1"/>
        <w:rPr>
          <w:rFonts w:ascii="Times New Roman" w:hAnsi="Times New Roman" w:eastAsia="仿宋_GB2312" w:cs="Times New Roman"/>
          <w:sz w:val="28"/>
        </w:rPr>
      </w:pPr>
    </w:p>
    <w:p>
      <w:pPr>
        <w:numPr>
          <w:ilvl w:val="0"/>
          <w:numId w:val="0"/>
        </w:numPr>
        <w:jc w:val="left"/>
        <w:outlineLvl w:val="1"/>
        <w:rPr>
          <w:rFonts w:ascii="Times New Roman" w:hAnsi="Times New Roman" w:eastAsia="仿宋_GB2312" w:cs="Times New Roman"/>
          <w:sz w:val="28"/>
        </w:rPr>
      </w:pPr>
    </w:p>
    <w:p>
      <w:pPr>
        <w:pStyle w:val="2"/>
        <w:rPr>
          <w:rFonts w:ascii="Times New Roman" w:hAnsi="Times New Roman" w:eastAsia="仿宋_GB2312" w:cs="Times New Roman"/>
          <w:sz w:val="28"/>
        </w:rPr>
      </w:pPr>
    </w:p>
    <w:p>
      <w:pPr>
        <w:rPr>
          <w:rFonts w:ascii="Times New Roman" w:hAnsi="Times New Roman" w:eastAsia="仿宋_GB2312" w:cs="Times New Roman"/>
          <w:sz w:val="28"/>
        </w:rPr>
      </w:pPr>
    </w:p>
    <w:p>
      <w:pPr>
        <w:pStyle w:val="2"/>
        <w:rPr>
          <w:rFonts w:ascii="Times New Roman" w:hAnsi="Times New Roman" w:eastAsia="仿宋_GB2312" w:cs="Times New Roman"/>
          <w:sz w:val="28"/>
        </w:rPr>
      </w:pPr>
    </w:p>
    <w:p>
      <w:pPr>
        <w:rPr>
          <w:rFonts w:ascii="Times New Roman" w:hAnsi="Times New Roman" w:eastAsia="仿宋_GB2312" w:cs="Times New Roman"/>
          <w:sz w:val="28"/>
        </w:rPr>
      </w:pPr>
    </w:p>
    <w:p>
      <w:pPr>
        <w:pStyle w:val="2"/>
      </w:pPr>
    </w:p>
    <w:p/>
    <w:p>
      <w:pPr>
        <w:pStyle w:val="2"/>
      </w:pPr>
    </w:p>
    <w:p/>
    <w:p>
      <w:pPr>
        <w:pStyle w:val="2"/>
      </w:pPr>
    </w:p>
    <w:p/>
    <w:p>
      <w:pPr>
        <w:pStyle w:val="2"/>
      </w:pPr>
    </w:p>
    <w:p/>
    <w:p>
      <w:pPr>
        <w:numPr>
          <w:ilvl w:val="0"/>
          <w:numId w:val="0"/>
        </w:numPr>
        <w:ind w:firstLine="560" w:firstLineChars="200"/>
        <w:jc w:val="left"/>
        <w:outlineLvl w:val="1"/>
        <w:rPr>
          <w:rFonts w:ascii="Times New Roman" w:hAnsi="Times New Roman" w:eastAsia="仿宋_GB2312" w:cs="Times New Roman"/>
          <w:sz w:val="28"/>
        </w:rPr>
      </w:pPr>
      <w:r>
        <w:rPr>
          <w:rFonts w:hint="eastAsia" w:ascii="Times New Roman" w:hAnsi="Times New Roman" w:eastAsia="仿宋_GB2312" w:cs="Times New Roman"/>
          <w:sz w:val="28"/>
          <w:lang w:val="en-US" w:eastAsia="zh-CN"/>
        </w:rPr>
        <w:t>3</w:t>
      </w:r>
      <w:r>
        <w:rPr>
          <w:rFonts w:ascii="Times New Roman" w:hAnsi="Times New Roman" w:eastAsia="仿宋_GB2312" w:cs="Times New Roman"/>
          <w:sz w:val="28"/>
        </w:rPr>
        <w:t>.廊坊市重要农业种质资源创新及农、牧业关键技术研究示范项目绩效目标表</w:t>
      </w:r>
      <w:bookmarkEnd w:id="2"/>
    </w:p>
    <w:tbl>
      <w:tblPr>
        <w:tblStyle w:val="11"/>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21"/>
              <w:rPr>
                <w:rFonts w:ascii="Times New Roman" w:hAnsi="Times New Roman" w:cs="Times New Roman"/>
              </w:rPr>
            </w:pPr>
            <w:bookmarkStart w:id="3" w:name="_Toc_4_4_0000000006"/>
            <w:r>
              <w:rPr>
                <w:rFonts w:ascii="Times New Roman" w:hAnsi="Times New Roman" w:cs="Times New Roman"/>
              </w:rPr>
              <w:t>485001廊坊市农林科学院本级</w:t>
            </w:r>
          </w:p>
        </w:tc>
        <w:tc>
          <w:tcPr>
            <w:tcW w:w="1843" w:type="dxa"/>
            <w:tcBorders>
              <w:top w:val="single" w:color="FFFFFF" w:sz="6" w:space="0"/>
              <w:left w:val="single" w:color="FFFFFF" w:sz="6" w:space="0"/>
              <w:right w:val="single" w:color="FFFFFF" w:sz="6" w:space="0"/>
            </w:tcBorders>
            <w:vAlign w:val="center"/>
          </w:tcPr>
          <w:p>
            <w:pPr>
              <w:pStyle w:val="16"/>
              <w:rPr>
                <w:rFonts w:ascii="Times New Roman" w:hAnsi="Times New Roman" w:cs="Times New Roman"/>
              </w:rPr>
            </w:pPr>
            <w:r>
              <w:rPr>
                <w:rFonts w:ascii="Times New Roman" w:hAnsi="Times New Roman" w:cs="Times New Roman"/>
              </w:rP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rPr>
                <w:rFonts w:ascii="Times New Roman" w:hAnsi="Times New Roman" w:cs="Times New Roman"/>
              </w:rPr>
            </w:pPr>
            <w:r>
              <w:rPr>
                <w:rFonts w:ascii="Times New Roman" w:hAnsi="Times New Roman" w:cs="Times New Roman"/>
              </w:rPr>
              <w:t>项目编码</w:t>
            </w:r>
          </w:p>
        </w:tc>
        <w:tc>
          <w:tcPr>
            <w:tcW w:w="2608" w:type="dxa"/>
            <w:gridSpan w:val="2"/>
            <w:vAlign w:val="center"/>
          </w:tcPr>
          <w:p>
            <w:pPr>
              <w:pStyle w:val="17"/>
              <w:rPr>
                <w:rFonts w:ascii="Times New Roman" w:hAnsi="Times New Roman" w:cs="Times New Roman"/>
              </w:rPr>
            </w:pPr>
            <w:r>
              <w:rPr>
                <w:rFonts w:ascii="Times New Roman" w:hAnsi="Times New Roman" w:cs="Times New Roman"/>
              </w:rPr>
              <w:t>13100023P00313110002X</w:t>
            </w:r>
          </w:p>
        </w:tc>
        <w:tc>
          <w:tcPr>
            <w:tcW w:w="1587" w:type="dxa"/>
            <w:vAlign w:val="center"/>
          </w:tcPr>
          <w:p>
            <w:pPr>
              <w:pStyle w:val="15"/>
              <w:rPr>
                <w:rFonts w:ascii="Times New Roman" w:hAnsi="Times New Roman" w:cs="Times New Roman"/>
              </w:rPr>
            </w:pPr>
            <w:r>
              <w:rPr>
                <w:rFonts w:ascii="Times New Roman" w:hAnsi="Times New Roman" w:cs="Times New Roman"/>
              </w:rPr>
              <w:t>项目名称</w:t>
            </w:r>
          </w:p>
        </w:tc>
        <w:tc>
          <w:tcPr>
            <w:tcW w:w="4422" w:type="dxa"/>
            <w:gridSpan w:val="3"/>
            <w:vAlign w:val="center"/>
          </w:tcPr>
          <w:p>
            <w:pPr>
              <w:pStyle w:val="17"/>
              <w:rPr>
                <w:rFonts w:ascii="Times New Roman" w:hAnsi="Times New Roman" w:cs="Times New Roman"/>
              </w:rPr>
            </w:pPr>
            <w:r>
              <w:rPr>
                <w:rFonts w:ascii="Times New Roman" w:hAnsi="Times New Roman" w:cs="Times New Roman"/>
              </w:rPr>
              <w:t>廊坊市重要农业种质资源创新及农、牧业关键技术研究示范项目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rPr>
                <w:rFonts w:ascii="Times New Roman" w:hAnsi="Times New Roman" w:cs="Times New Roman"/>
              </w:rPr>
            </w:pPr>
            <w:r>
              <w:rPr>
                <w:rFonts w:ascii="Times New Roman" w:hAnsi="Times New Roman" w:cs="Times New Roman"/>
              </w:rPr>
              <w:t>预算规模及资金用途</w:t>
            </w:r>
          </w:p>
        </w:tc>
        <w:tc>
          <w:tcPr>
            <w:tcW w:w="1276" w:type="dxa"/>
            <w:vAlign w:val="center"/>
          </w:tcPr>
          <w:p>
            <w:pPr>
              <w:pStyle w:val="15"/>
              <w:rPr>
                <w:rFonts w:ascii="Times New Roman" w:hAnsi="Times New Roman" w:cs="Times New Roman"/>
              </w:rPr>
            </w:pPr>
            <w:r>
              <w:rPr>
                <w:rFonts w:ascii="Times New Roman" w:hAnsi="Times New Roman" w:cs="Times New Roman"/>
              </w:rPr>
              <w:t>预算数</w:t>
            </w:r>
          </w:p>
        </w:tc>
        <w:tc>
          <w:tcPr>
            <w:tcW w:w="1332" w:type="dxa"/>
            <w:vAlign w:val="center"/>
          </w:tcPr>
          <w:p>
            <w:pPr>
              <w:pStyle w:val="17"/>
              <w:rPr>
                <w:rFonts w:ascii="Times New Roman" w:hAnsi="Times New Roman" w:cs="Times New Roman"/>
              </w:rPr>
            </w:pPr>
            <w:r>
              <w:rPr>
                <w:rFonts w:ascii="Times New Roman" w:hAnsi="Times New Roman" w:cs="Times New Roman"/>
              </w:rPr>
              <w:t>97.40</w:t>
            </w:r>
          </w:p>
        </w:tc>
        <w:tc>
          <w:tcPr>
            <w:tcW w:w="1587" w:type="dxa"/>
            <w:vAlign w:val="center"/>
          </w:tcPr>
          <w:p>
            <w:pPr>
              <w:pStyle w:val="15"/>
              <w:rPr>
                <w:rFonts w:ascii="Times New Roman" w:hAnsi="Times New Roman" w:cs="Times New Roman"/>
              </w:rPr>
            </w:pPr>
            <w:r>
              <w:rPr>
                <w:rFonts w:ascii="Times New Roman" w:hAnsi="Times New Roman" w:cs="Times New Roman"/>
              </w:rPr>
              <w:t>其中：财政    资金</w:t>
            </w:r>
          </w:p>
        </w:tc>
        <w:tc>
          <w:tcPr>
            <w:tcW w:w="1304" w:type="dxa"/>
            <w:vAlign w:val="center"/>
          </w:tcPr>
          <w:p>
            <w:pPr>
              <w:pStyle w:val="17"/>
              <w:rPr>
                <w:rFonts w:ascii="Times New Roman" w:hAnsi="Times New Roman" w:cs="Times New Roman"/>
              </w:rPr>
            </w:pPr>
            <w:r>
              <w:rPr>
                <w:rFonts w:ascii="Times New Roman" w:hAnsi="Times New Roman" w:cs="Times New Roman"/>
              </w:rPr>
              <w:t>97.40</w:t>
            </w:r>
          </w:p>
        </w:tc>
        <w:tc>
          <w:tcPr>
            <w:tcW w:w="1276" w:type="dxa"/>
            <w:vAlign w:val="center"/>
          </w:tcPr>
          <w:p>
            <w:pPr>
              <w:pStyle w:val="15"/>
              <w:rPr>
                <w:rFonts w:ascii="Times New Roman" w:hAnsi="Times New Roman" w:cs="Times New Roman"/>
              </w:rPr>
            </w:pPr>
            <w:r>
              <w:rPr>
                <w:rFonts w:ascii="Times New Roman" w:hAnsi="Times New Roman" w:cs="Times New Roman"/>
              </w:rPr>
              <w:t>其他资金</w:t>
            </w:r>
          </w:p>
        </w:tc>
        <w:tc>
          <w:tcPr>
            <w:tcW w:w="1843" w:type="dxa"/>
            <w:vAlign w:val="center"/>
          </w:tcPr>
          <w:p>
            <w:pPr>
              <w:pStyle w:val="17"/>
              <w:rPr>
                <w:rFonts w:ascii="Times New Roman" w:hAnsi="Times New Roman" w:cs="Times New Roman"/>
              </w:rPr>
            </w:pPr>
            <w:r>
              <w:rPr>
                <w:rFonts w:ascii="Times New Roman" w:hAnsi="Times New Roman" w:cs="Times New Roman"/>
              </w:rP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17"/>
              <w:rPr>
                <w:rFonts w:ascii="Times New Roman" w:hAnsi="Times New Roman" w:cs="Times New Roman"/>
              </w:rPr>
            </w:pPr>
            <w:r>
              <w:rPr>
                <w:rFonts w:ascii="Times New Roman" w:hAnsi="Times New Roman" w:cs="Times New Roman"/>
              </w:rPr>
              <w:t>项目资金97.4万元，主要用于9个农业研究类项目和2个示范类项目开展所需的材料费、劳务费、土地租赁费、差旅费、测试化验加工费等支出。</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rPr>
                <w:rFonts w:ascii="Times New Roman" w:hAnsi="Times New Roman" w:cs="Times New Roman"/>
              </w:rPr>
            </w:pPr>
            <w:r>
              <w:rPr>
                <w:rFonts w:ascii="Times New Roman" w:hAnsi="Times New Roman" w:cs="Times New Roman"/>
              </w:rPr>
              <w:t>资金支出计划（%）</w:t>
            </w:r>
          </w:p>
        </w:tc>
        <w:tc>
          <w:tcPr>
            <w:tcW w:w="2608" w:type="dxa"/>
            <w:gridSpan w:val="2"/>
            <w:vAlign w:val="center"/>
          </w:tcPr>
          <w:p>
            <w:pPr>
              <w:pStyle w:val="15"/>
              <w:rPr>
                <w:rFonts w:ascii="Times New Roman" w:hAnsi="Times New Roman" w:cs="Times New Roman"/>
              </w:rPr>
            </w:pPr>
            <w:r>
              <w:rPr>
                <w:rFonts w:ascii="Times New Roman" w:hAnsi="Times New Roman" w:cs="Times New Roman"/>
              </w:rPr>
              <w:t>3月底</w:t>
            </w:r>
          </w:p>
        </w:tc>
        <w:tc>
          <w:tcPr>
            <w:tcW w:w="1587" w:type="dxa"/>
            <w:vAlign w:val="center"/>
          </w:tcPr>
          <w:p>
            <w:pPr>
              <w:pStyle w:val="15"/>
              <w:rPr>
                <w:rFonts w:ascii="Times New Roman" w:hAnsi="Times New Roman" w:cs="Times New Roman"/>
              </w:rPr>
            </w:pPr>
            <w:r>
              <w:rPr>
                <w:rFonts w:ascii="Times New Roman" w:hAnsi="Times New Roman" w:cs="Times New Roman"/>
              </w:rPr>
              <w:t>6月底</w:t>
            </w:r>
          </w:p>
        </w:tc>
        <w:tc>
          <w:tcPr>
            <w:tcW w:w="1304" w:type="dxa"/>
            <w:vAlign w:val="center"/>
          </w:tcPr>
          <w:p>
            <w:pPr>
              <w:pStyle w:val="15"/>
              <w:rPr>
                <w:rFonts w:ascii="Times New Roman" w:hAnsi="Times New Roman" w:cs="Times New Roman"/>
              </w:rPr>
            </w:pPr>
            <w:r>
              <w:rPr>
                <w:rFonts w:ascii="Times New Roman" w:hAnsi="Times New Roman" w:cs="Times New Roman"/>
              </w:rPr>
              <w:t>10月底</w:t>
            </w:r>
          </w:p>
        </w:tc>
        <w:tc>
          <w:tcPr>
            <w:tcW w:w="3118" w:type="dxa"/>
            <w:gridSpan w:val="2"/>
            <w:vAlign w:val="center"/>
          </w:tcPr>
          <w:p>
            <w:pPr>
              <w:pStyle w:val="15"/>
              <w:rPr>
                <w:rFonts w:ascii="Times New Roman" w:hAnsi="Times New Roman" w:cs="Times New Roman"/>
              </w:rPr>
            </w:pPr>
            <w:r>
              <w:rPr>
                <w:rFonts w:ascii="Times New Roman" w:hAnsi="Times New Roman" w:cs="Times New Roman"/>
              </w:rP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18"/>
              <w:rPr>
                <w:rFonts w:ascii="Times New Roman" w:hAnsi="Times New Roman" w:cs="Times New Roman"/>
              </w:rPr>
            </w:pPr>
            <w:r>
              <w:rPr>
                <w:rFonts w:ascii="Times New Roman" w:hAnsi="Times New Roman" w:cs="Times New Roman"/>
              </w:rPr>
              <w:t>30%</w:t>
            </w:r>
          </w:p>
        </w:tc>
        <w:tc>
          <w:tcPr>
            <w:tcW w:w="1587" w:type="dxa"/>
            <w:vAlign w:val="center"/>
          </w:tcPr>
          <w:p>
            <w:pPr>
              <w:pStyle w:val="18"/>
              <w:rPr>
                <w:rFonts w:ascii="Times New Roman" w:hAnsi="Times New Roman" w:cs="Times New Roman"/>
              </w:rPr>
            </w:pPr>
            <w:r>
              <w:rPr>
                <w:rFonts w:ascii="Times New Roman" w:hAnsi="Times New Roman" w:cs="Times New Roman"/>
              </w:rPr>
              <w:t>60%</w:t>
            </w:r>
          </w:p>
        </w:tc>
        <w:tc>
          <w:tcPr>
            <w:tcW w:w="1304" w:type="dxa"/>
            <w:vAlign w:val="center"/>
          </w:tcPr>
          <w:p>
            <w:pPr>
              <w:pStyle w:val="18"/>
              <w:rPr>
                <w:rFonts w:ascii="Times New Roman" w:hAnsi="Times New Roman" w:cs="Times New Roman"/>
              </w:rPr>
            </w:pPr>
            <w:r>
              <w:rPr>
                <w:rFonts w:ascii="Times New Roman" w:hAnsi="Times New Roman" w:cs="Times New Roman"/>
              </w:rPr>
              <w:t>90%</w:t>
            </w:r>
          </w:p>
        </w:tc>
        <w:tc>
          <w:tcPr>
            <w:tcW w:w="3118" w:type="dxa"/>
            <w:gridSpan w:val="2"/>
            <w:vAlign w:val="center"/>
          </w:tcPr>
          <w:p>
            <w:pPr>
              <w:pStyle w:val="18"/>
              <w:rPr>
                <w:rFonts w:ascii="Times New Roman" w:hAnsi="Times New Roman" w:cs="Times New Roman"/>
              </w:rPr>
            </w:pPr>
            <w:r>
              <w:rPr>
                <w:rFonts w:ascii="Times New Roman" w:hAnsi="Times New Roman" w:cs="Times New Roman"/>
              </w:rP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rPr>
                <w:rFonts w:ascii="Times New Roman" w:hAnsi="Times New Roman" w:cs="Times New Roman"/>
              </w:rPr>
            </w:pPr>
            <w:r>
              <w:rPr>
                <w:rFonts w:ascii="Times New Roman" w:hAnsi="Times New Roman" w:cs="Times New Roman"/>
              </w:rPr>
              <w:t>绩效目标</w:t>
            </w:r>
          </w:p>
        </w:tc>
        <w:tc>
          <w:tcPr>
            <w:tcW w:w="8617" w:type="dxa"/>
            <w:gridSpan w:val="6"/>
            <w:vAlign w:val="center"/>
          </w:tcPr>
          <w:p>
            <w:pPr>
              <w:pStyle w:val="17"/>
              <w:rPr>
                <w:rFonts w:ascii="Times New Roman" w:hAnsi="Times New Roman" w:cs="Times New Roman"/>
              </w:rPr>
            </w:pPr>
            <w:r>
              <w:rPr>
                <w:rFonts w:ascii="Times New Roman" w:hAnsi="Times New Roman" w:cs="Times New Roman"/>
              </w:rPr>
              <w:t>1.目标内容1</w:t>
            </w:r>
          </w:p>
        </w:tc>
      </w:tr>
    </w:tbl>
    <w:p>
      <w:pPr>
        <w:spacing w:line="2" w:lineRule="exact"/>
        <w:jc w:val="center"/>
      </w:pPr>
      <w:r>
        <w:rPr>
          <w:rFonts w:eastAsia="方正书宋_GBK"/>
          <w:color w:val="000000"/>
          <w:sz w:val="21"/>
        </w:rPr>
        <w:t xml:space="preserve"> </w:t>
      </w:r>
    </w:p>
    <w:tbl>
      <w:tblPr>
        <w:tblStyle w:val="11"/>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5"/>
              <w:rPr>
                <w:rFonts w:ascii="Times New Roman" w:hAnsi="Times New Roman" w:cs="Times New Roman"/>
              </w:rPr>
            </w:pPr>
            <w:r>
              <w:rPr>
                <w:rFonts w:ascii="Times New Roman" w:hAnsi="Times New Roman" w:cs="Times New Roman"/>
              </w:rPr>
              <w:t>一级指标</w:t>
            </w:r>
          </w:p>
        </w:tc>
        <w:tc>
          <w:tcPr>
            <w:tcW w:w="1276" w:type="dxa"/>
            <w:vAlign w:val="center"/>
          </w:tcPr>
          <w:p>
            <w:pPr>
              <w:pStyle w:val="15"/>
              <w:rPr>
                <w:rFonts w:ascii="Times New Roman" w:hAnsi="Times New Roman" w:cs="Times New Roman"/>
              </w:rPr>
            </w:pPr>
            <w:r>
              <w:rPr>
                <w:rFonts w:ascii="Times New Roman" w:hAnsi="Times New Roman" w:cs="Times New Roman"/>
              </w:rPr>
              <w:t>二级指标</w:t>
            </w:r>
          </w:p>
        </w:tc>
        <w:tc>
          <w:tcPr>
            <w:tcW w:w="1332" w:type="dxa"/>
            <w:vAlign w:val="center"/>
          </w:tcPr>
          <w:p>
            <w:pPr>
              <w:pStyle w:val="15"/>
              <w:rPr>
                <w:rFonts w:ascii="Times New Roman" w:hAnsi="Times New Roman" w:cs="Times New Roman"/>
              </w:rPr>
            </w:pPr>
            <w:r>
              <w:rPr>
                <w:rFonts w:ascii="Times New Roman" w:hAnsi="Times New Roman" w:cs="Times New Roman"/>
              </w:rPr>
              <w:t>三级指标</w:t>
            </w:r>
          </w:p>
        </w:tc>
        <w:tc>
          <w:tcPr>
            <w:tcW w:w="2891" w:type="dxa"/>
            <w:vAlign w:val="center"/>
          </w:tcPr>
          <w:p>
            <w:pPr>
              <w:pStyle w:val="15"/>
              <w:rPr>
                <w:rFonts w:ascii="Times New Roman" w:hAnsi="Times New Roman" w:cs="Times New Roman"/>
              </w:rPr>
            </w:pPr>
            <w:r>
              <w:rPr>
                <w:rFonts w:ascii="Times New Roman" w:hAnsi="Times New Roman" w:cs="Times New Roman"/>
              </w:rPr>
              <w:t>绩效指标描述</w:t>
            </w:r>
          </w:p>
        </w:tc>
        <w:tc>
          <w:tcPr>
            <w:tcW w:w="1276" w:type="dxa"/>
            <w:vAlign w:val="center"/>
          </w:tcPr>
          <w:p>
            <w:pPr>
              <w:pStyle w:val="15"/>
              <w:rPr>
                <w:rFonts w:ascii="Times New Roman" w:hAnsi="Times New Roman" w:cs="Times New Roman"/>
              </w:rPr>
            </w:pPr>
            <w:r>
              <w:rPr>
                <w:rFonts w:ascii="Times New Roman" w:hAnsi="Times New Roman" w:cs="Times New Roman"/>
              </w:rPr>
              <w:t>指标值</w:t>
            </w:r>
          </w:p>
        </w:tc>
        <w:tc>
          <w:tcPr>
            <w:tcW w:w="1843" w:type="dxa"/>
            <w:vAlign w:val="center"/>
          </w:tcPr>
          <w:p>
            <w:pPr>
              <w:pStyle w:val="15"/>
              <w:rPr>
                <w:rFonts w:ascii="Times New Roman" w:hAnsi="Times New Roman" w:cs="Times New Roman"/>
              </w:rPr>
            </w:pPr>
            <w:r>
              <w:rPr>
                <w:rFonts w:ascii="Times New Roman" w:hAnsi="Times New Roman" w:cs="Times New Roman"/>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8"/>
              <w:rPr>
                <w:rFonts w:ascii="Times New Roman" w:hAnsi="Times New Roman" w:cs="Times New Roman"/>
              </w:rPr>
            </w:pPr>
            <w:r>
              <w:rPr>
                <w:rFonts w:ascii="Times New Roman" w:hAnsi="Times New Roman" w:cs="Times New Roman"/>
              </w:rPr>
              <w:t>产出指标</w:t>
            </w:r>
          </w:p>
        </w:tc>
        <w:tc>
          <w:tcPr>
            <w:tcW w:w="1276" w:type="dxa"/>
            <w:vAlign w:val="center"/>
          </w:tcPr>
          <w:p>
            <w:pPr>
              <w:pStyle w:val="17"/>
              <w:rPr>
                <w:rFonts w:ascii="Times New Roman" w:hAnsi="Times New Roman" w:cs="Times New Roman"/>
              </w:rPr>
            </w:pPr>
            <w:r>
              <w:rPr>
                <w:rFonts w:ascii="Times New Roman" w:hAnsi="Times New Roman" w:cs="Times New Roman"/>
              </w:rPr>
              <w:t>数量指标</w:t>
            </w:r>
          </w:p>
        </w:tc>
        <w:tc>
          <w:tcPr>
            <w:tcW w:w="1332" w:type="dxa"/>
            <w:vAlign w:val="center"/>
          </w:tcPr>
          <w:p>
            <w:pPr>
              <w:pStyle w:val="17"/>
              <w:rPr>
                <w:rFonts w:ascii="Times New Roman" w:hAnsi="Times New Roman" w:cs="Times New Roman"/>
              </w:rPr>
            </w:pPr>
            <w:r>
              <w:rPr>
                <w:rFonts w:ascii="Times New Roman" w:hAnsi="Times New Roman" w:cs="Times New Roman"/>
              </w:rPr>
              <w:t>研究项目实施数量</w:t>
            </w:r>
          </w:p>
        </w:tc>
        <w:tc>
          <w:tcPr>
            <w:tcW w:w="2891" w:type="dxa"/>
            <w:vAlign w:val="center"/>
          </w:tcPr>
          <w:p>
            <w:pPr>
              <w:pStyle w:val="17"/>
              <w:rPr>
                <w:rFonts w:ascii="Times New Roman" w:hAnsi="Times New Roman" w:cs="Times New Roman"/>
              </w:rPr>
            </w:pPr>
            <w:r>
              <w:rPr>
                <w:rFonts w:ascii="Times New Roman" w:hAnsi="Times New Roman" w:cs="Times New Roman"/>
              </w:rPr>
              <w:t>研究项目实施项数情况</w:t>
            </w:r>
          </w:p>
        </w:tc>
        <w:tc>
          <w:tcPr>
            <w:tcW w:w="1276" w:type="dxa"/>
            <w:vAlign w:val="center"/>
          </w:tcPr>
          <w:p>
            <w:pPr>
              <w:pStyle w:val="17"/>
              <w:rPr>
                <w:rFonts w:ascii="Times New Roman" w:hAnsi="Times New Roman" w:cs="Times New Roman"/>
              </w:rPr>
            </w:pPr>
            <w:r>
              <w:rPr>
                <w:rFonts w:ascii="Times New Roman" w:hAnsi="Times New Roman" w:cs="Times New Roman"/>
              </w:rPr>
              <w:t>9项</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数量指标</w:t>
            </w:r>
          </w:p>
        </w:tc>
        <w:tc>
          <w:tcPr>
            <w:tcW w:w="1332" w:type="dxa"/>
            <w:vAlign w:val="center"/>
          </w:tcPr>
          <w:p>
            <w:pPr>
              <w:pStyle w:val="17"/>
              <w:ind w:right="-67" w:rightChars="-32"/>
              <w:rPr>
                <w:rFonts w:ascii="Times New Roman" w:hAnsi="Times New Roman" w:cs="Times New Roman"/>
                <w:spacing w:val="-12"/>
              </w:rPr>
            </w:pPr>
            <w:r>
              <w:rPr>
                <w:rFonts w:ascii="Times New Roman" w:hAnsi="Times New Roman" w:cs="Times New Roman"/>
                <w:spacing w:val="-12"/>
              </w:rPr>
              <w:t>引进新品种种质资源数量</w:t>
            </w:r>
          </w:p>
        </w:tc>
        <w:tc>
          <w:tcPr>
            <w:tcW w:w="2891" w:type="dxa"/>
            <w:vAlign w:val="center"/>
          </w:tcPr>
          <w:p>
            <w:pPr>
              <w:pStyle w:val="17"/>
              <w:rPr>
                <w:rFonts w:ascii="Times New Roman" w:hAnsi="Times New Roman" w:cs="Times New Roman"/>
              </w:rPr>
            </w:pPr>
            <w:r>
              <w:rPr>
                <w:rFonts w:ascii="Times New Roman" w:hAnsi="Times New Roman" w:cs="Times New Roman"/>
              </w:rPr>
              <w:t>反映引进新品种种质资源数量情况</w:t>
            </w:r>
          </w:p>
        </w:tc>
        <w:tc>
          <w:tcPr>
            <w:tcW w:w="1276" w:type="dxa"/>
            <w:vAlign w:val="center"/>
          </w:tcPr>
          <w:p>
            <w:pPr>
              <w:pStyle w:val="17"/>
              <w:rPr>
                <w:rFonts w:ascii="Times New Roman" w:hAnsi="Times New Roman" w:cs="Times New Roman"/>
              </w:rPr>
            </w:pPr>
            <w:r>
              <w:rPr>
                <w:rFonts w:ascii="Times New Roman" w:hAnsi="Times New Roman" w:cs="Times New Roman"/>
              </w:rPr>
              <w:t>≥96个</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数量指标</w:t>
            </w:r>
          </w:p>
        </w:tc>
        <w:tc>
          <w:tcPr>
            <w:tcW w:w="1332" w:type="dxa"/>
            <w:vAlign w:val="center"/>
          </w:tcPr>
          <w:p>
            <w:pPr>
              <w:pStyle w:val="17"/>
              <w:rPr>
                <w:rFonts w:ascii="Times New Roman" w:hAnsi="Times New Roman" w:cs="Times New Roman"/>
              </w:rPr>
            </w:pPr>
            <w:r>
              <w:rPr>
                <w:rFonts w:ascii="Times New Roman" w:hAnsi="Times New Roman" w:cs="Times New Roman"/>
              </w:rPr>
              <w:t>研究项目占用露地面积</w:t>
            </w:r>
          </w:p>
        </w:tc>
        <w:tc>
          <w:tcPr>
            <w:tcW w:w="2891" w:type="dxa"/>
            <w:vAlign w:val="center"/>
          </w:tcPr>
          <w:p>
            <w:pPr>
              <w:pStyle w:val="17"/>
              <w:rPr>
                <w:rFonts w:ascii="Times New Roman" w:hAnsi="Times New Roman" w:cs="Times New Roman"/>
              </w:rPr>
            </w:pPr>
            <w:r>
              <w:rPr>
                <w:rFonts w:ascii="Times New Roman" w:hAnsi="Times New Roman" w:cs="Times New Roman"/>
              </w:rPr>
              <w:t>反映研究项目占用露地面积情况</w:t>
            </w:r>
          </w:p>
        </w:tc>
        <w:tc>
          <w:tcPr>
            <w:tcW w:w="1276" w:type="dxa"/>
            <w:vAlign w:val="center"/>
          </w:tcPr>
          <w:p>
            <w:pPr>
              <w:pStyle w:val="17"/>
              <w:rPr>
                <w:rFonts w:ascii="Times New Roman" w:hAnsi="Times New Roman" w:cs="Times New Roman"/>
              </w:rPr>
            </w:pPr>
            <w:r>
              <w:rPr>
                <w:rFonts w:ascii="Times New Roman" w:hAnsi="Times New Roman" w:cs="Times New Roman"/>
              </w:rPr>
              <w:t>≥87亩</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数量指标</w:t>
            </w:r>
          </w:p>
        </w:tc>
        <w:tc>
          <w:tcPr>
            <w:tcW w:w="1332" w:type="dxa"/>
            <w:vAlign w:val="center"/>
          </w:tcPr>
          <w:p>
            <w:pPr>
              <w:pStyle w:val="17"/>
              <w:rPr>
                <w:rFonts w:ascii="Times New Roman" w:hAnsi="Times New Roman" w:cs="Times New Roman"/>
              </w:rPr>
            </w:pPr>
            <w:r>
              <w:rPr>
                <w:rFonts w:ascii="Times New Roman" w:hAnsi="Times New Roman" w:cs="Times New Roman"/>
              </w:rPr>
              <w:t>示范项目数量</w:t>
            </w:r>
          </w:p>
        </w:tc>
        <w:tc>
          <w:tcPr>
            <w:tcW w:w="2891" w:type="dxa"/>
            <w:vAlign w:val="center"/>
          </w:tcPr>
          <w:p>
            <w:pPr>
              <w:pStyle w:val="17"/>
              <w:rPr>
                <w:rFonts w:ascii="Times New Roman" w:hAnsi="Times New Roman" w:cs="Times New Roman"/>
              </w:rPr>
            </w:pPr>
            <w:r>
              <w:rPr>
                <w:rFonts w:ascii="Times New Roman" w:hAnsi="Times New Roman" w:cs="Times New Roman"/>
              </w:rPr>
              <w:t>示范项目实施项数情况</w:t>
            </w:r>
          </w:p>
        </w:tc>
        <w:tc>
          <w:tcPr>
            <w:tcW w:w="1276" w:type="dxa"/>
            <w:vAlign w:val="center"/>
          </w:tcPr>
          <w:p>
            <w:pPr>
              <w:pStyle w:val="17"/>
              <w:rPr>
                <w:rFonts w:ascii="Times New Roman" w:hAnsi="Times New Roman" w:cs="Times New Roman"/>
              </w:rPr>
            </w:pPr>
            <w:r>
              <w:rPr>
                <w:rFonts w:ascii="Times New Roman" w:hAnsi="Times New Roman" w:cs="Times New Roman"/>
              </w:rPr>
              <w:t>2项</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数量指标</w:t>
            </w:r>
          </w:p>
        </w:tc>
        <w:tc>
          <w:tcPr>
            <w:tcW w:w="1332" w:type="dxa"/>
            <w:vAlign w:val="center"/>
          </w:tcPr>
          <w:p>
            <w:pPr>
              <w:pStyle w:val="17"/>
              <w:ind w:right="-67" w:rightChars="-32"/>
              <w:rPr>
                <w:rFonts w:ascii="Times New Roman" w:hAnsi="Times New Roman" w:cs="Times New Roman"/>
                <w:spacing w:val="-12"/>
              </w:rPr>
            </w:pPr>
            <w:r>
              <w:rPr>
                <w:rFonts w:ascii="Times New Roman" w:hAnsi="Times New Roman" w:cs="Times New Roman"/>
                <w:spacing w:val="-12"/>
              </w:rPr>
              <w:t>研究、示范占用棚室数量</w:t>
            </w:r>
          </w:p>
        </w:tc>
        <w:tc>
          <w:tcPr>
            <w:tcW w:w="2891" w:type="dxa"/>
            <w:vAlign w:val="center"/>
          </w:tcPr>
          <w:p>
            <w:pPr>
              <w:pStyle w:val="17"/>
              <w:rPr>
                <w:rFonts w:ascii="Times New Roman" w:hAnsi="Times New Roman" w:cs="Times New Roman"/>
              </w:rPr>
            </w:pPr>
            <w:r>
              <w:rPr>
                <w:rFonts w:ascii="Times New Roman" w:hAnsi="Times New Roman" w:cs="Times New Roman"/>
              </w:rPr>
              <w:t>研究、示范项目占用棚室数量情况</w:t>
            </w:r>
          </w:p>
        </w:tc>
        <w:tc>
          <w:tcPr>
            <w:tcW w:w="1276" w:type="dxa"/>
            <w:vAlign w:val="center"/>
          </w:tcPr>
          <w:p>
            <w:pPr>
              <w:pStyle w:val="17"/>
              <w:rPr>
                <w:rFonts w:ascii="Times New Roman" w:hAnsi="Times New Roman" w:cs="Times New Roman"/>
              </w:rPr>
            </w:pPr>
            <w:r>
              <w:rPr>
                <w:rFonts w:ascii="Times New Roman" w:hAnsi="Times New Roman" w:cs="Times New Roman"/>
              </w:rPr>
              <w:t>≥6个</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数量指标</w:t>
            </w:r>
          </w:p>
        </w:tc>
        <w:tc>
          <w:tcPr>
            <w:tcW w:w="1332" w:type="dxa"/>
            <w:vAlign w:val="center"/>
          </w:tcPr>
          <w:p>
            <w:pPr>
              <w:pStyle w:val="17"/>
              <w:ind w:right="-105" w:rightChars="-50"/>
              <w:rPr>
                <w:rFonts w:ascii="Times New Roman" w:hAnsi="Times New Roman" w:cs="Times New Roman"/>
                <w:spacing w:val="-10"/>
              </w:rPr>
            </w:pPr>
            <w:r>
              <w:rPr>
                <w:rFonts w:ascii="Times New Roman" w:hAnsi="Times New Roman" w:cs="Times New Roman"/>
                <w:spacing w:val="-10"/>
              </w:rPr>
              <w:t>新品种、新技术示范个数</w:t>
            </w:r>
          </w:p>
        </w:tc>
        <w:tc>
          <w:tcPr>
            <w:tcW w:w="2891" w:type="dxa"/>
            <w:vAlign w:val="center"/>
          </w:tcPr>
          <w:p>
            <w:pPr>
              <w:pStyle w:val="17"/>
              <w:rPr>
                <w:rFonts w:ascii="Times New Roman" w:hAnsi="Times New Roman" w:cs="Times New Roman"/>
              </w:rPr>
            </w:pPr>
            <w:r>
              <w:rPr>
                <w:rFonts w:ascii="Times New Roman" w:hAnsi="Times New Roman" w:cs="Times New Roman"/>
              </w:rPr>
              <w:t>新品种、新技术示范个数情况</w:t>
            </w:r>
          </w:p>
        </w:tc>
        <w:tc>
          <w:tcPr>
            <w:tcW w:w="1276" w:type="dxa"/>
            <w:vAlign w:val="center"/>
          </w:tcPr>
          <w:p>
            <w:pPr>
              <w:pStyle w:val="17"/>
              <w:rPr>
                <w:rFonts w:ascii="Times New Roman" w:hAnsi="Times New Roman" w:cs="Times New Roman"/>
              </w:rPr>
            </w:pPr>
            <w:r>
              <w:rPr>
                <w:rFonts w:ascii="Times New Roman" w:hAnsi="Times New Roman" w:cs="Times New Roman"/>
              </w:rPr>
              <w:t>≥2个</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数量指标</w:t>
            </w:r>
          </w:p>
        </w:tc>
        <w:tc>
          <w:tcPr>
            <w:tcW w:w="1332" w:type="dxa"/>
            <w:vAlign w:val="center"/>
          </w:tcPr>
          <w:p>
            <w:pPr>
              <w:pStyle w:val="17"/>
              <w:rPr>
                <w:rFonts w:ascii="Times New Roman" w:hAnsi="Times New Roman" w:cs="Times New Roman"/>
              </w:rPr>
            </w:pPr>
            <w:r>
              <w:rPr>
                <w:rFonts w:ascii="Times New Roman" w:hAnsi="Times New Roman" w:cs="Times New Roman"/>
              </w:rPr>
              <w:t>现场观摩或培训次数</w:t>
            </w:r>
          </w:p>
        </w:tc>
        <w:tc>
          <w:tcPr>
            <w:tcW w:w="2891" w:type="dxa"/>
            <w:vAlign w:val="center"/>
          </w:tcPr>
          <w:p>
            <w:pPr>
              <w:pStyle w:val="17"/>
              <w:rPr>
                <w:rFonts w:ascii="Times New Roman" w:hAnsi="Times New Roman" w:cs="Times New Roman"/>
              </w:rPr>
            </w:pPr>
            <w:r>
              <w:rPr>
                <w:rFonts w:ascii="Times New Roman" w:hAnsi="Times New Roman" w:cs="Times New Roman"/>
              </w:rPr>
              <w:t>组织现场观摩或培训次数情况</w:t>
            </w:r>
          </w:p>
        </w:tc>
        <w:tc>
          <w:tcPr>
            <w:tcW w:w="1276" w:type="dxa"/>
            <w:vAlign w:val="center"/>
          </w:tcPr>
          <w:p>
            <w:pPr>
              <w:pStyle w:val="17"/>
              <w:rPr>
                <w:rFonts w:ascii="Times New Roman" w:hAnsi="Times New Roman" w:cs="Times New Roman"/>
              </w:rPr>
            </w:pPr>
            <w:r>
              <w:rPr>
                <w:rFonts w:ascii="Times New Roman" w:hAnsi="Times New Roman" w:cs="Times New Roman"/>
              </w:rPr>
              <w:t>≥10次</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质量指标</w:t>
            </w:r>
          </w:p>
        </w:tc>
        <w:tc>
          <w:tcPr>
            <w:tcW w:w="1332" w:type="dxa"/>
            <w:vAlign w:val="center"/>
          </w:tcPr>
          <w:p>
            <w:pPr>
              <w:pStyle w:val="17"/>
              <w:rPr>
                <w:rFonts w:ascii="Times New Roman" w:hAnsi="Times New Roman" w:cs="Times New Roman"/>
              </w:rPr>
            </w:pPr>
            <w:r>
              <w:rPr>
                <w:rFonts w:ascii="Times New Roman" w:hAnsi="Times New Roman" w:cs="Times New Roman"/>
              </w:rPr>
              <w:t>生产资料质量合格率</w:t>
            </w:r>
          </w:p>
        </w:tc>
        <w:tc>
          <w:tcPr>
            <w:tcW w:w="2891" w:type="dxa"/>
            <w:vAlign w:val="center"/>
          </w:tcPr>
          <w:p>
            <w:pPr>
              <w:pStyle w:val="17"/>
              <w:rPr>
                <w:rFonts w:ascii="Times New Roman" w:hAnsi="Times New Roman" w:cs="Times New Roman"/>
              </w:rPr>
            </w:pPr>
            <w:r>
              <w:rPr>
                <w:rFonts w:ascii="Times New Roman" w:hAnsi="Times New Roman" w:cs="Times New Roman"/>
              </w:rPr>
              <w:t>反映农药、种子、化肥等生产资料质量合格情况</w:t>
            </w:r>
          </w:p>
        </w:tc>
        <w:tc>
          <w:tcPr>
            <w:tcW w:w="1276" w:type="dxa"/>
            <w:vAlign w:val="center"/>
          </w:tcPr>
          <w:p>
            <w:pPr>
              <w:pStyle w:val="17"/>
              <w:rPr>
                <w:rFonts w:ascii="Times New Roman" w:hAnsi="Times New Roman" w:cs="Times New Roman"/>
              </w:rPr>
            </w:pPr>
            <w:r>
              <w:rPr>
                <w:rFonts w:ascii="Times New Roman" w:hAnsi="Times New Roman" w:cs="Times New Roman"/>
              </w:rPr>
              <w:t>100%</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质量指标</w:t>
            </w:r>
          </w:p>
        </w:tc>
        <w:tc>
          <w:tcPr>
            <w:tcW w:w="1332" w:type="dxa"/>
            <w:vAlign w:val="center"/>
          </w:tcPr>
          <w:p>
            <w:pPr>
              <w:pStyle w:val="17"/>
              <w:rPr>
                <w:rFonts w:ascii="Times New Roman" w:hAnsi="Times New Roman" w:cs="Times New Roman"/>
              </w:rPr>
            </w:pPr>
            <w:r>
              <w:rPr>
                <w:rFonts w:ascii="Times New Roman" w:hAnsi="Times New Roman" w:cs="Times New Roman"/>
              </w:rPr>
              <w:t>示范规模达标率</w:t>
            </w:r>
          </w:p>
        </w:tc>
        <w:tc>
          <w:tcPr>
            <w:tcW w:w="2891" w:type="dxa"/>
            <w:vAlign w:val="center"/>
          </w:tcPr>
          <w:p>
            <w:pPr>
              <w:pStyle w:val="17"/>
              <w:rPr>
                <w:rFonts w:ascii="Times New Roman" w:hAnsi="Times New Roman" w:cs="Times New Roman"/>
              </w:rPr>
            </w:pPr>
            <w:r>
              <w:rPr>
                <w:rFonts w:ascii="Times New Roman" w:hAnsi="Times New Roman" w:cs="Times New Roman"/>
              </w:rPr>
              <w:t>新品种、新技术示范规模达标情况</w:t>
            </w:r>
          </w:p>
        </w:tc>
        <w:tc>
          <w:tcPr>
            <w:tcW w:w="1276" w:type="dxa"/>
            <w:vAlign w:val="center"/>
          </w:tcPr>
          <w:p>
            <w:pPr>
              <w:pStyle w:val="17"/>
              <w:rPr>
                <w:rFonts w:ascii="Times New Roman" w:hAnsi="Times New Roman" w:cs="Times New Roman"/>
              </w:rPr>
            </w:pPr>
            <w:r>
              <w:rPr>
                <w:rFonts w:ascii="Times New Roman" w:hAnsi="Times New Roman" w:cs="Times New Roman"/>
              </w:rPr>
              <w:t>100%</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质量指标</w:t>
            </w:r>
          </w:p>
        </w:tc>
        <w:tc>
          <w:tcPr>
            <w:tcW w:w="1332" w:type="dxa"/>
            <w:vAlign w:val="center"/>
          </w:tcPr>
          <w:p>
            <w:pPr>
              <w:pStyle w:val="17"/>
              <w:rPr>
                <w:rFonts w:ascii="Times New Roman" w:hAnsi="Times New Roman" w:cs="Times New Roman"/>
              </w:rPr>
            </w:pPr>
            <w:r>
              <w:rPr>
                <w:rFonts w:ascii="Times New Roman" w:hAnsi="Times New Roman" w:cs="Times New Roman"/>
              </w:rPr>
              <w:t>项目验收通过率</w:t>
            </w:r>
          </w:p>
        </w:tc>
        <w:tc>
          <w:tcPr>
            <w:tcW w:w="2891" w:type="dxa"/>
            <w:vAlign w:val="center"/>
          </w:tcPr>
          <w:p>
            <w:pPr>
              <w:pStyle w:val="17"/>
              <w:rPr>
                <w:rFonts w:ascii="Times New Roman" w:hAnsi="Times New Roman" w:cs="Times New Roman"/>
              </w:rPr>
            </w:pPr>
            <w:r>
              <w:rPr>
                <w:rFonts w:ascii="Times New Roman" w:hAnsi="Times New Roman" w:cs="Times New Roman"/>
              </w:rPr>
              <w:t>通过验收的项目占应验收项目总数的比例</w:t>
            </w:r>
          </w:p>
        </w:tc>
        <w:tc>
          <w:tcPr>
            <w:tcW w:w="1276" w:type="dxa"/>
            <w:vAlign w:val="center"/>
          </w:tcPr>
          <w:p>
            <w:pPr>
              <w:pStyle w:val="17"/>
              <w:rPr>
                <w:rFonts w:ascii="Times New Roman" w:hAnsi="Times New Roman" w:cs="Times New Roman"/>
              </w:rPr>
            </w:pPr>
            <w:r>
              <w:rPr>
                <w:rFonts w:ascii="Times New Roman" w:hAnsi="Times New Roman" w:cs="Times New Roman"/>
              </w:rPr>
              <w:t>100%</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时效指标</w:t>
            </w:r>
          </w:p>
        </w:tc>
        <w:tc>
          <w:tcPr>
            <w:tcW w:w="1332" w:type="dxa"/>
            <w:vAlign w:val="center"/>
          </w:tcPr>
          <w:p>
            <w:pPr>
              <w:pStyle w:val="17"/>
              <w:rPr>
                <w:rFonts w:ascii="Times New Roman" w:hAnsi="Times New Roman" w:cs="Times New Roman"/>
              </w:rPr>
            </w:pPr>
            <w:r>
              <w:rPr>
                <w:rFonts w:ascii="Times New Roman" w:hAnsi="Times New Roman" w:cs="Times New Roman"/>
              </w:rPr>
              <w:t>项目开展及时性</w:t>
            </w:r>
          </w:p>
        </w:tc>
        <w:tc>
          <w:tcPr>
            <w:tcW w:w="2891" w:type="dxa"/>
            <w:vAlign w:val="center"/>
          </w:tcPr>
          <w:p>
            <w:pPr>
              <w:pStyle w:val="17"/>
              <w:rPr>
                <w:rFonts w:ascii="Times New Roman" w:hAnsi="Times New Roman" w:cs="Times New Roman"/>
              </w:rPr>
            </w:pPr>
            <w:r>
              <w:rPr>
                <w:rFonts w:ascii="Times New Roman" w:hAnsi="Times New Roman" w:cs="Times New Roman"/>
              </w:rPr>
              <w:t>按照项目时间节点实施情况</w:t>
            </w:r>
          </w:p>
        </w:tc>
        <w:tc>
          <w:tcPr>
            <w:tcW w:w="1276" w:type="dxa"/>
            <w:vAlign w:val="center"/>
          </w:tcPr>
          <w:p>
            <w:pPr>
              <w:pStyle w:val="17"/>
              <w:rPr>
                <w:rFonts w:ascii="Times New Roman" w:hAnsi="Times New Roman" w:cs="Times New Roman"/>
              </w:rPr>
            </w:pPr>
            <w:r>
              <w:rPr>
                <w:rFonts w:ascii="Times New Roman" w:hAnsi="Times New Roman" w:cs="Times New Roman"/>
              </w:rPr>
              <w:t>及时</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成本指标</w:t>
            </w:r>
          </w:p>
        </w:tc>
        <w:tc>
          <w:tcPr>
            <w:tcW w:w="1332" w:type="dxa"/>
            <w:vAlign w:val="center"/>
          </w:tcPr>
          <w:p>
            <w:pPr>
              <w:pStyle w:val="17"/>
              <w:rPr>
                <w:rFonts w:ascii="Times New Roman" w:hAnsi="Times New Roman" w:cs="Times New Roman"/>
              </w:rPr>
            </w:pPr>
            <w:r>
              <w:rPr>
                <w:rFonts w:ascii="Times New Roman" w:hAnsi="Times New Roman" w:cs="Times New Roman"/>
              </w:rPr>
              <w:t>单个项目研究成本</w:t>
            </w:r>
          </w:p>
        </w:tc>
        <w:tc>
          <w:tcPr>
            <w:tcW w:w="2891" w:type="dxa"/>
            <w:vAlign w:val="center"/>
          </w:tcPr>
          <w:p>
            <w:pPr>
              <w:pStyle w:val="17"/>
              <w:rPr>
                <w:rFonts w:ascii="Times New Roman" w:hAnsi="Times New Roman" w:cs="Times New Roman"/>
              </w:rPr>
            </w:pPr>
            <w:r>
              <w:rPr>
                <w:rFonts w:ascii="Times New Roman" w:hAnsi="Times New Roman" w:cs="Times New Roman"/>
              </w:rPr>
              <w:t>单个项目平均研究成本</w:t>
            </w:r>
          </w:p>
        </w:tc>
        <w:tc>
          <w:tcPr>
            <w:tcW w:w="1276" w:type="dxa"/>
            <w:vAlign w:val="center"/>
          </w:tcPr>
          <w:p>
            <w:pPr>
              <w:pStyle w:val="17"/>
              <w:rPr>
                <w:rFonts w:ascii="Times New Roman" w:hAnsi="Times New Roman" w:cs="Times New Roman"/>
              </w:rPr>
            </w:pPr>
            <w:r>
              <w:rPr>
                <w:rFonts w:ascii="Times New Roman" w:hAnsi="Times New Roman" w:cs="Times New Roman"/>
              </w:rPr>
              <w:t>≤9.73万元</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成本指标</w:t>
            </w:r>
          </w:p>
        </w:tc>
        <w:tc>
          <w:tcPr>
            <w:tcW w:w="1332" w:type="dxa"/>
            <w:vAlign w:val="center"/>
          </w:tcPr>
          <w:p>
            <w:pPr>
              <w:pStyle w:val="17"/>
              <w:rPr>
                <w:rFonts w:ascii="Times New Roman" w:hAnsi="Times New Roman" w:cs="Times New Roman"/>
              </w:rPr>
            </w:pPr>
            <w:r>
              <w:rPr>
                <w:rFonts w:ascii="Times New Roman" w:hAnsi="Times New Roman" w:cs="Times New Roman"/>
              </w:rPr>
              <w:t>示范项目平均成本</w:t>
            </w:r>
          </w:p>
        </w:tc>
        <w:tc>
          <w:tcPr>
            <w:tcW w:w="2891" w:type="dxa"/>
            <w:vAlign w:val="center"/>
          </w:tcPr>
          <w:p>
            <w:pPr>
              <w:pStyle w:val="17"/>
              <w:rPr>
                <w:rFonts w:ascii="Times New Roman" w:hAnsi="Times New Roman" w:cs="Times New Roman"/>
              </w:rPr>
            </w:pPr>
            <w:r>
              <w:rPr>
                <w:rFonts w:ascii="Times New Roman" w:hAnsi="Times New Roman" w:cs="Times New Roman"/>
              </w:rPr>
              <w:t>反应单一成本控制情况</w:t>
            </w:r>
          </w:p>
        </w:tc>
        <w:tc>
          <w:tcPr>
            <w:tcW w:w="1276" w:type="dxa"/>
            <w:vAlign w:val="center"/>
          </w:tcPr>
          <w:p>
            <w:pPr>
              <w:pStyle w:val="17"/>
              <w:rPr>
                <w:rFonts w:ascii="Times New Roman" w:hAnsi="Times New Roman" w:cs="Times New Roman"/>
              </w:rPr>
            </w:pPr>
            <w:r>
              <w:rPr>
                <w:rFonts w:ascii="Times New Roman" w:hAnsi="Times New Roman" w:cs="Times New Roman"/>
              </w:rPr>
              <w:t>≤4.75万元</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8"/>
              <w:rPr>
                <w:rFonts w:ascii="Times New Roman" w:hAnsi="Times New Roman" w:cs="Times New Roman"/>
              </w:rPr>
            </w:pPr>
            <w:r>
              <w:rPr>
                <w:rFonts w:ascii="Times New Roman" w:hAnsi="Times New Roman" w:cs="Times New Roman"/>
              </w:rPr>
              <w:t>效益指标</w:t>
            </w:r>
          </w:p>
        </w:tc>
        <w:tc>
          <w:tcPr>
            <w:tcW w:w="1276" w:type="dxa"/>
            <w:vAlign w:val="center"/>
          </w:tcPr>
          <w:p>
            <w:pPr>
              <w:pStyle w:val="17"/>
              <w:rPr>
                <w:rFonts w:ascii="Times New Roman" w:hAnsi="Times New Roman" w:cs="Times New Roman"/>
              </w:rPr>
            </w:pPr>
            <w:r>
              <w:rPr>
                <w:rFonts w:ascii="Times New Roman" w:hAnsi="Times New Roman" w:cs="Times New Roman"/>
              </w:rPr>
              <w:t>社会效益指标</w:t>
            </w:r>
          </w:p>
        </w:tc>
        <w:tc>
          <w:tcPr>
            <w:tcW w:w="1332" w:type="dxa"/>
            <w:vAlign w:val="center"/>
          </w:tcPr>
          <w:p>
            <w:pPr>
              <w:pStyle w:val="17"/>
              <w:rPr>
                <w:rFonts w:ascii="Times New Roman" w:hAnsi="Times New Roman" w:cs="Times New Roman"/>
              </w:rPr>
            </w:pPr>
            <w:r>
              <w:rPr>
                <w:rFonts w:ascii="Times New Roman" w:hAnsi="Times New Roman" w:cs="Times New Roman"/>
              </w:rPr>
              <w:t>筛选出优良品种资源数量</w:t>
            </w:r>
          </w:p>
        </w:tc>
        <w:tc>
          <w:tcPr>
            <w:tcW w:w="2891" w:type="dxa"/>
            <w:vAlign w:val="center"/>
          </w:tcPr>
          <w:p>
            <w:pPr>
              <w:pStyle w:val="17"/>
              <w:rPr>
                <w:rFonts w:ascii="Times New Roman" w:hAnsi="Times New Roman" w:cs="Times New Roman"/>
              </w:rPr>
            </w:pPr>
            <w:r>
              <w:rPr>
                <w:rFonts w:ascii="Times New Roman" w:hAnsi="Times New Roman" w:cs="Times New Roman"/>
              </w:rPr>
              <w:t>反映研究项目筛选出优良品种资源数量情况</w:t>
            </w:r>
          </w:p>
        </w:tc>
        <w:tc>
          <w:tcPr>
            <w:tcW w:w="1276" w:type="dxa"/>
            <w:vAlign w:val="center"/>
          </w:tcPr>
          <w:p>
            <w:pPr>
              <w:pStyle w:val="17"/>
              <w:rPr>
                <w:rFonts w:ascii="Times New Roman" w:hAnsi="Times New Roman" w:cs="Times New Roman"/>
              </w:rPr>
            </w:pPr>
            <w:r>
              <w:rPr>
                <w:rFonts w:ascii="Times New Roman" w:hAnsi="Times New Roman" w:cs="Times New Roman"/>
              </w:rPr>
              <w:t>≥17个</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社会效益指标</w:t>
            </w:r>
          </w:p>
        </w:tc>
        <w:tc>
          <w:tcPr>
            <w:tcW w:w="1332" w:type="dxa"/>
            <w:vAlign w:val="center"/>
          </w:tcPr>
          <w:p>
            <w:pPr>
              <w:pStyle w:val="17"/>
              <w:rPr>
                <w:rFonts w:ascii="Times New Roman" w:hAnsi="Times New Roman" w:cs="Times New Roman"/>
              </w:rPr>
            </w:pPr>
            <w:r>
              <w:rPr>
                <w:rFonts w:ascii="Times New Roman" w:hAnsi="Times New Roman" w:cs="Times New Roman"/>
              </w:rPr>
              <w:t>提升农户采用新技术或新品种意向率</w:t>
            </w:r>
          </w:p>
        </w:tc>
        <w:tc>
          <w:tcPr>
            <w:tcW w:w="2891" w:type="dxa"/>
            <w:vAlign w:val="center"/>
          </w:tcPr>
          <w:p>
            <w:pPr>
              <w:pStyle w:val="17"/>
              <w:rPr>
                <w:rFonts w:ascii="Times New Roman" w:hAnsi="Times New Roman" w:cs="Times New Roman"/>
              </w:rPr>
            </w:pPr>
            <w:r>
              <w:rPr>
                <w:rFonts w:ascii="Times New Roman" w:hAnsi="Times New Roman" w:cs="Times New Roman"/>
              </w:rPr>
              <w:t>反映部分项目对提升当地农户采用新技术、新品种的意向增长情况</w:t>
            </w:r>
          </w:p>
        </w:tc>
        <w:tc>
          <w:tcPr>
            <w:tcW w:w="1276" w:type="dxa"/>
            <w:vAlign w:val="center"/>
          </w:tcPr>
          <w:p>
            <w:pPr>
              <w:pStyle w:val="17"/>
              <w:rPr>
                <w:rFonts w:ascii="Times New Roman" w:hAnsi="Times New Roman" w:cs="Times New Roman"/>
              </w:rPr>
            </w:pPr>
            <w:r>
              <w:rPr>
                <w:rFonts w:ascii="Times New Roman" w:hAnsi="Times New Roman" w:cs="Times New Roman"/>
              </w:rPr>
              <w:t>≥20%</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社会效益指标</w:t>
            </w:r>
          </w:p>
        </w:tc>
        <w:tc>
          <w:tcPr>
            <w:tcW w:w="1332" w:type="dxa"/>
            <w:vAlign w:val="center"/>
          </w:tcPr>
          <w:p>
            <w:pPr>
              <w:pStyle w:val="17"/>
              <w:rPr>
                <w:rFonts w:ascii="Times New Roman" w:hAnsi="Times New Roman" w:cs="Times New Roman"/>
              </w:rPr>
            </w:pPr>
            <w:r>
              <w:rPr>
                <w:rFonts w:ascii="Times New Roman" w:hAnsi="Times New Roman" w:cs="Times New Roman"/>
              </w:rPr>
              <w:t>培训指导农户人数</w:t>
            </w:r>
          </w:p>
        </w:tc>
        <w:tc>
          <w:tcPr>
            <w:tcW w:w="2891" w:type="dxa"/>
            <w:vAlign w:val="center"/>
          </w:tcPr>
          <w:p>
            <w:pPr>
              <w:pStyle w:val="17"/>
              <w:rPr>
                <w:rFonts w:ascii="Times New Roman" w:hAnsi="Times New Roman" w:cs="Times New Roman"/>
              </w:rPr>
            </w:pPr>
            <w:r>
              <w:rPr>
                <w:rFonts w:ascii="Times New Roman" w:hAnsi="Times New Roman" w:cs="Times New Roman"/>
              </w:rPr>
              <w:t>接受技术指导培训的农户人数情况</w:t>
            </w:r>
          </w:p>
        </w:tc>
        <w:tc>
          <w:tcPr>
            <w:tcW w:w="1276" w:type="dxa"/>
            <w:vAlign w:val="center"/>
          </w:tcPr>
          <w:p>
            <w:pPr>
              <w:pStyle w:val="17"/>
              <w:rPr>
                <w:rFonts w:ascii="Times New Roman" w:hAnsi="Times New Roman" w:cs="Times New Roman"/>
              </w:rPr>
            </w:pPr>
            <w:r>
              <w:rPr>
                <w:rFonts w:ascii="Times New Roman" w:hAnsi="Times New Roman" w:cs="Times New Roman"/>
              </w:rPr>
              <w:t>≥200人</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社会效益指标</w:t>
            </w:r>
          </w:p>
        </w:tc>
        <w:tc>
          <w:tcPr>
            <w:tcW w:w="1332" w:type="dxa"/>
            <w:vAlign w:val="center"/>
          </w:tcPr>
          <w:p>
            <w:pPr>
              <w:pStyle w:val="17"/>
              <w:rPr>
                <w:rFonts w:ascii="Times New Roman" w:hAnsi="Times New Roman" w:cs="Times New Roman"/>
              </w:rPr>
            </w:pPr>
            <w:r>
              <w:rPr>
                <w:rFonts w:ascii="Times New Roman" w:hAnsi="Times New Roman" w:cs="Times New Roman"/>
              </w:rPr>
              <w:t>编制或发表技术规程、论文数量</w:t>
            </w:r>
          </w:p>
        </w:tc>
        <w:tc>
          <w:tcPr>
            <w:tcW w:w="2891" w:type="dxa"/>
            <w:vAlign w:val="center"/>
          </w:tcPr>
          <w:p>
            <w:pPr>
              <w:pStyle w:val="17"/>
              <w:rPr>
                <w:rFonts w:ascii="Times New Roman" w:hAnsi="Times New Roman" w:cs="Times New Roman"/>
              </w:rPr>
            </w:pPr>
            <w:r>
              <w:rPr>
                <w:rFonts w:ascii="Times New Roman" w:hAnsi="Times New Roman" w:cs="Times New Roman"/>
              </w:rPr>
              <w:t>反映通过项目开展撰写技术规程或发表论文情况</w:t>
            </w:r>
          </w:p>
        </w:tc>
        <w:tc>
          <w:tcPr>
            <w:tcW w:w="1276" w:type="dxa"/>
            <w:vAlign w:val="center"/>
          </w:tcPr>
          <w:p>
            <w:pPr>
              <w:pStyle w:val="17"/>
              <w:rPr>
                <w:rFonts w:ascii="Times New Roman" w:hAnsi="Times New Roman" w:cs="Times New Roman"/>
              </w:rPr>
            </w:pPr>
            <w:r>
              <w:rPr>
                <w:rFonts w:ascii="Times New Roman" w:hAnsi="Times New Roman" w:cs="Times New Roman"/>
              </w:rPr>
              <w:t>≥5篇</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经济效益指标</w:t>
            </w:r>
          </w:p>
        </w:tc>
        <w:tc>
          <w:tcPr>
            <w:tcW w:w="1332" w:type="dxa"/>
            <w:vAlign w:val="center"/>
          </w:tcPr>
          <w:p>
            <w:pPr>
              <w:pStyle w:val="17"/>
              <w:rPr>
                <w:rFonts w:ascii="Times New Roman" w:hAnsi="Times New Roman" w:cs="Times New Roman"/>
              </w:rPr>
            </w:pPr>
            <w:r>
              <w:rPr>
                <w:rFonts w:ascii="Times New Roman" w:hAnsi="Times New Roman" w:cs="Times New Roman"/>
              </w:rPr>
              <w:t>亩收益增长率</w:t>
            </w:r>
          </w:p>
        </w:tc>
        <w:tc>
          <w:tcPr>
            <w:tcW w:w="2891" w:type="dxa"/>
            <w:vAlign w:val="center"/>
          </w:tcPr>
          <w:p>
            <w:pPr>
              <w:pStyle w:val="17"/>
              <w:rPr>
                <w:rFonts w:ascii="Times New Roman" w:hAnsi="Times New Roman" w:cs="Times New Roman"/>
              </w:rPr>
            </w:pPr>
            <w:r>
              <w:rPr>
                <w:rFonts w:ascii="Times New Roman" w:hAnsi="Times New Roman" w:cs="Times New Roman"/>
              </w:rPr>
              <w:t>反映研究、示范项目的平均收益增收比率情况</w:t>
            </w:r>
          </w:p>
        </w:tc>
        <w:tc>
          <w:tcPr>
            <w:tcW w:w="1276" w:type="dxa"/>
            <w:vAlign w:val="center"/>
          </w:tcPr>
          <w:p>
            <w:pPr>
              <w:pStyle w:val="17"/>
              <w:rPr>
                <w:rFonts w:ascii="Times New Roman" w:hAnsi="Times New Roman" w:cs="Times New Roman"/>
              </w:rPr>
            </w:pPr>
            <w:r>
              <w:rPr>
                <w:rFonts w:ascii="Times New Roman" w:hAnsi="Times New Roman" w:cs="Times New Roman"/>
              </w:rPr>
              <w:t>≥15%</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生态效益指标</w:t>
            </w:r>
          </w:p>
        </w:tc>
        <w:tc>
          <w:tcPr>
            <w:tcW w:w="1332" w:type="dxa"/>
            <w:vAlign w:val="center"/>
          </w:tcPr>
          <w:p>
            <w:pPr>
              <w:pStyle w:val="17"/>
              <w:rPr>
                <w:rFonts w:ascii="Times New Roman" w:hAnsi="Times New Roman" w:cs="Times New Roman"/>
              </w:rPr>
            </w:pPr>
            <w:r>
              <w:rPr>
                <w:rFonts w:ascii="Times New Roman" w:hAnsi="Times New Roman" w:cs="Times New Roman"/>
              </w:rPr>
              <w:t>经济林绿化面积数量</w:t>
            </w:r>
          </w:p>
        </w:tc>
        <w:tc>
          <w:tcPr>
            <w:tcW w:w="2891" w:type="dxa"/>
            <w:vAlign w:val="center"/>
          </w:tcPr>
          <w:p>
            <w:pPr>
              <w:pStyle w:val="17"/>
              <w:rPr>
                <w:rFonts w:ascii="Times New Roman" w:hAnsi="Times New Roman" w:cs="Times New Roman"/>
              </w:rPr>
            </w:pPr>
            <w:r>
              <w:rPr>
                <w:rFonts w:ascii="Times New Roman" w:hAnsi="Times New Roman" w:cs="Times New Roman"/>
              </w:rPr>
              <w:t>增加本市林木绿化面积数量情况</w:t>
            </w:r>
          </w:p>
        </w:tc>
        <w:tc>
          <w:tcPr>
            <w:tcW w:w="1276" w:type="dxa"/>
            <w:vAlign w:val="center"/>
          </w:tcPr>
          <w:p>
            <w:pPr>
              <w:pStyle w:val="17"/>
              <w:rPr>
                <w:rFonts w:ascii="Times New Roman" w:hAnsi="Times New Roman" w:cs="Times New Roman"/>
              </w:rPr>
            </w:pPr>
            <w:r>
              <w:rPr>
                <w:rFonts w:ascii="Times New Roman" w:hAnsi="Times New Roman" w:cs="Times New Roman"/>
              </w:rPr>
              <w:t>≥5亩</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生态效益指标</w:t>
            </w:r>
          </w:p>
        </w:tc>
        <w:tc>
          <w:tcPr>
            <w:tcW w:w="1332" w:type="dxa"/>
            <w:vAlign w:val="center"/>
          </w:tcPr>
          <w:p>
            <w:pPr>
              <w:pStyle w:val="17"/>
              <w:rPr>
                <w:rFonts w:ascii="Times New Roman" w:hAnsi="Times New Roman" w:cs="Times New Roman"/>
              </w:rPr>
            </w:pPr>
            <w:r>
              <w:rPr>
                <w:rFonts w:ascii="Times New Roman" w:hAnsi="Times New Roman" w:cs="Times New Roman"/>
              </w:rPr>
              <w:t>农药节约率</w:t>
            </w:r>
          </w:p>
        </w:tc>
        <w:tc>
          <w:tcPr>
            <w:tcW w:w="2891" w:type="dxa"/>
            <w:vAlign w:val="center"/>
          </w:tcPr>
          <w:p>
            <w:pPr>
              <w:pStyle w:val="17"/>
              <w:rPr>
                <w:rFonts w:ascii="Times New Roman" w:hAnsi="Times New Roman" w:cs="Times New Roman"/>
              </w:rPr>
            </w:pPr>
            <w:r>
              <w:rPr>
                <w:rFonts w:ascii="Times New Roman" w:hAnsi="Times New Roman" w:cs="Times New Roman"/>
              </w:rPr>
              <w:t>反映作物细菌、病毒研究项目的农药节约率情况</w:t>
            </w:r>
          </w:p>
        </w:tc>
        <w:tc>
          <w:tcPr>
            <w:tcW w:w="1276" w:type="dxa"/>
            <w:vAlign w:val="center"/>
          </w:tcPr>
          <w:p>
            <w:pPr>
              <w:pStyle w:val="17"/>
              <w:rPr>
                <w:rFonts w:ascii="Times New Roman" w:hAnsi="Times New Roman" w:cs="Times New Roman"/>
              </w:rPr>
            </w:pPr>
            <w:r>
              <w:rPr>
                <w:rFonts w:ascii="Times New Roman" w:hAnsi="Times New Roman" w:cs="Times New Roman"/>
              </w:rPr>
              <w:t>≥10%</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可持续影响指标</w:t>
            </w:r>
          </w:p>
        </w:tc>
        <w:tc>
          <w:tcPr>
            <w:tcW w:w="1332" w:type="dxa"/>
            <w:vAlign w:val="center"/>
          </w:tcPr>
          <w:p>
            <w:pPr>
              <w:pStyle w:val="17"/>
              <w:rPr>
                <w:rFonts w:ascii="Times New Roman" w:hAnsi="Times New Roman" w:cs="Times New Roman"/>
              </w:rPr>
            </w:pPr>
            <w:r>
              <w:rPr>
                <w:rFonts w:ascii="Times New Roman" w:hAnsi="Times New Roman" w:cs="Times New Roman"/>
              </w:rPr>
              <w:t>农业多元化</w:t>
            </w:r>
          </w:p>
        </w:tc>
        <w:tc>
          <w:tcPr>
            <w:tcW w:w="2891" w:type="dxa"/>
            <w:vAlign w:val="center"/>
          </w:tcPr>
          <w:p>
            <w:pPr>
              <w:pStyle w:val="17"/>
              <w:rPr>
                <w:rFonts w:ascii="Times New Roman" w:hAnsi="Times New Roman" w:cs="Times New Roman"/>
              </w:rPr>
            </w:pPr>
            <w:r>
              <w:rPr>
                <w:rFonts w:ascii="Times New Roman" w:hAnsi="Times New Roman" w:cs="Times New Roman"/>
              </w:rPr>
              <w:t>农业多元化发展是否有效</w:t>
            </w:r>
          </w:p>
        </w:tc>
        <w:tc>
          <w:tcPr>
            <w:tcW w:w="1276" w:type="dxa"/>
            <w:vAlign w:val="center"/>
          </w:tcPr>
          <w:p>
            <w:pPr>
              <w:pStyle w:val="17"/>
              <w:rPr>
                <w:rFonts w:ascii="Times New Roman" w:hAnsi="Times New Roman" w:cs="Times New Roman"/>
              </w:rPr>
            </w:pPr>
            <w:r>
              <w:rPr>
                <w:rFonts w:ascii="Times New Roman" w:hAnsi="Times New Roman" w:cs="Times New Roman"/>
              </w:rPr>
              <w:t>有效</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可持续影响指标</w:t>
            </w:r>
          </w:p>
        </w:tc>
        <w:tc>
          <w:tcPr>
            <w:tcW w:w="1332" w:type="dxa"/>
            <w:vAlign w:val="center"/>
          </w:tcPr>
          <w:p>
            <w:pPr>
              <w:pStyle w:val="17"/>
              <w:rPr>
                <w:rFonts w:ascii="Times New Roman" w:hAnsi="Times New Roman" w:cs="Times New Roman"/>
              </w:rPr>
            </w:pPr>
            <w:r>
              <w:rPr>
                <w:rFonts w:ascii="Times New Roman" w:hAnsi="Times New Roman" w:cs="Times New Roman"/>
              </w:rPr>
              <w:t>发挥示范作用年限</w:t>
            </w:r>
          </w:p>
        </w:tc>
        <w:tc>
          <w:tcPr>
            <w:tcW w:w="2891" w:type="dxa"/>
            <w:vAlign w:val="center"/>
          </w:tcPr>
          <w:p>
            <w:pPr>
              <w:pStyle w:val="17"/>
              <w:rPr>
                <w:rFonts w:ascii="Times New Roman" w:hAnsi="Times New Roman" w:cs="Times New Roman"/>
              </w:rPr>
            </w:pPr>
            <w:r>
              <w:rPr>
                <w:rFonts w:ascii="Times New Roman" w:hAnsi="Times New Roman" w:cs="Times New Roman"/>
              </w:rPr>
              <w:t>反映项目发挥示范作用最低年限情况</w:t>
            </w:r>
          </w:p>
        </w:tc>
        <w:tc>
          <w:tcPr>
            <w:tcW w:w="1276" w:type="dxa"/>
            <w:vAlign w:val="center"/>
          </w:tcPr>
          <w:p>
            <w:pPr>
              <w:pStyle w:val="17"/>
              <w:rPr>
                <w:rFonts w:ascii="Times New Roman" w:hAnsi="Times New Roman" w:cs="Times New Roman"/>
              </w:rPr>
            </w:pPr>
            <w:r>
              <w:rPr>
                <w:rFonts w:ascii="Times New Roman" w:hAnsi="Times New Roman" w:cs="Times New Roman"/>
              </w:rPr>
              <w:t>≥1年</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8"/>
              <w:rPr>
                <w:rFonts w:ascii="Times New Roman" w:hAnsi="Times New Roman" w:cs="Times New Roman"/>
              </w:rPr>
            </w:pPr>
            <w:r>
              <w:rPr>
                <w:rFonts w:ascii="Times New Roman" w:hAnsi="Times New Roman" w:cs="Times New Roman"/>
              </w:rPr>
              <w:t>满意度指标</w:t>
            </w:r>
          </w:p>
        </w:tc>
        <w:tc>
          <w:tcPr>
            <w:tcW w:w="1276" w:type="dxa"/>
            <w:vAlign w:val="center"/>
          </w:tcPr>
          <w:p>
            <w:pPr>
              <w:pStyle w:val="17"/>
              <w:rPr>
                <w:rFonts w:ascii="Times New Roman" w:hAnsi="Times New Roman" w:cs="Times New Roman"/>
              </w:rPr>
            </w:pPr>
            <w:r>
              <w:rPr>
                <w:rFonts w:ascii="Times New Roman" w:hAnsi="Times New Roman" w:cs="Times New Roman"/>
              </w:rPr>
              <w:t>服务对象满意度指标</w:t>
            </w:r>
          </w:p>
        </w:tc>
        <w:tc>
          <w:tcPr>
            <w:tcW w:w="1332" w:type="dxa"/>
            <w:vAlign w:val="center"/>
          </w:tcPr>
          <w:p>
            <w:pPr>
              <w:pStyle w:val="17"/>
              <w:rPr>
                <w:rFonts w:ascii="Times New Roman" w:hAnsi="Times New Roman" w:cs="Times New Roman"/>
              </w:rPr>
            </w:pPr>
            <w:r>
              <w:rPr>
                <w:rFonts w:ascii="Times New Roman" w:hAnsi="Times New Roman" w:cs="Times New Roman"/>
              </w:rPr>
              <w:t>人员满意度</w:t>
            </w:r>
          </w:p>
        </w:tc>
        <w:tc>
          <w:tcPr>
            <w:tcW w:w="2891" w:type="dxa"/>
            <w:vAlign w:val="center"/>
          </w:tcPr>
          <w:p>
            <w:pPr>
              <w:pStyle w:val="17"/>
              <w:rPr>
                <w:rFonts w:ascii="Times New Roman" w:hAnsi="Times New Roman" w:cs="Times New Roman"/>
              </w:rPr>
            </w:pPr>
            <w:r>
              <w:rPr>
                <w:rFonts w:ascii="Times New Roman" w:hAnsi="Times New Roman" w:cs="Times New Roman"/>
              </w:rPr>
              <w:t>反映项目检查或参观受训人员满意度情况</w:t>
            </w:r>
          </w:p>
        </w:tc>
        <w:tc>
          <w:tcPr>
            <w:tcW w:w="1276" w:type="dxa"/>
            <w:vAlign w:val="center"/>
          </w:tcPr>
          <w:p>
            <w:pPr>
              <w:pStyle w:val="17"/>
              <w:rPr>
                <w:rFonts w:ascii="Times New Roman" w:hAnsi="Times New Roman" w:cs="Times New Roman"/>
              </w:rPr>
            </w:pPr>
            <w:r>
              <w:rPr>
                <w:rFonts w:ascii="Times New Roman" w:hAnsi="Times New Roman" w:cs="Times New Roman"/>
              </w:rPr>
              <w:t>≥95%</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bookmarkEnd w:id="3"/>
    </w:tbl>
    <w:p>
      <w:pPr>
        <w:autoSpaceDE w:val="0"/>
        <w:autoSpaceDN w:val="0"/>
        <w:adjustRightInd w:val="0"/>
        <w:spacing w:line="584" w:lineRule="exact"/>
        <w:jc w:val="left"/>
        <w:rPr>
          <w:rFonts w:ascii="Times New Roman" w:hAnsi="Times New Roman" w:eastAsia="黑体" w:cs="Times New Roman"/>
          <w:sz w:val="32"/>
          <w:szCs w:val="32"/>
        </w:rPr>
      </w:pPr>
    </w:p>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六、政府采购预算情况</w:t>
      </w:r>
    </w:p>
    <w:p>
      <w:pPr>
        <w:spacing w:line="584" w:lineRule="exact"/>
        <w:ind w:firstLine="640" w:firstLineChars="200"/>
        <w:outlineLvl w:val="0"/>
        <w:rPr>
          <w:rFonts w:ascii="Times New Roman" w:hAnsi="Times New Roman" w:eastAsia="仿宋_GB2312" w:cs="Times New Roman"/>
          <w:sz w:val="32"/>
          <w:szCs w:val="24"/>
        </w:rPr>
      </w:pPr>
      <w:bookmarkStart w:id="4" w:name="_Toc471398468"/>
    </w:p>
    <w:p>
      <w:pPr>
        <w:spacing w:line="584" w:lineRule="exact"/>
        <w:ind w:firstLine="640" w:firstLineChars="200"/>
        <w:outlineLvl w:val="0"/>
        <w:rPr>
          <w:rFonts w:ascii="Times New Roman" w:hAnsi="Times New Roman" w:eastAsia="仿宋_GB2312" w:cs="Times New Roman"/>
          <w:sz w:val="32"/>
          <w:szCs w:val="24"/>
        </w:rPr>
      </w:pPr>
      <w:r>
        <w:rPr>
          <w:rFonts w:ascii="Times New Roman" w:hAnsi="Times New Roman" w:eastAsia="仿宋_GB2312" w:cs="Times New Roman"/>
          <w:sz w:val="32"/>
          <w:szCs w:val="24"/>
        </w:rPr>
        <w:t>20</w:t>
      </w:r>
      <w:r>
        <w:rPr>
          <w:rFonts w:hint="eastAsia" w:ascii="Times New Roman" w:hAnsi="Times New Roman" w:eastAsia="仿宋_GB2312" w:cs="Times New Roman"/>
          <w:sz w:val="32"/>
          <w:szCs w:val="24"/>
        </w:rPr>
        <w:t>2</w:t>
      </w:r>
      <w:r>
        <w:rPr>
          <w:rFonts w:hint="eastAsia" w:ascii="Times New Roman" w:hAnsi="Times New Roman" w:eastAsia="仿宋_GB2312" w:cs="Times New Roman"/>
          <w:sz w:val="32"/>
          <w:szCs w:val="24"/>
          <w:lang w:val="en-US" w:eastAsia="zh-CN"/>
        </w:rPr>
        <w:t>3</w:t>
      </w:r>
      <w:r>
        <w:rPr>
          <w:rFonts w:ascii="Times New Roman" w:hAnsi="Times New Roman" w:eastAsia="仿宋_GB2312" w:cs="Times New Roman"/>
          <w:sz w:val="32"/>
          <w:szCs w:val="24"/>
        </w:rPr>
        <w:t>年，我部门安排政府采购预算</w:t>
      </w:r>
      <w:r>
        <w:rPr>
          <w:rFonts w:hint="eastAsia" w:ascii="Times New Roman" w:hAnsi="Times New Roman" w:eastAsia="仿宋_GB2312" w:cs="Times New Roman"/>
          <w:sz w:val="32"/>
          <w:szCs w:val="24"/>
          <w:lang w:val="en-US" w:eastAsia="zh-CN"/>
        </w:rPr>
        <w:t>15.6</w:t>
      </w:r>
      <w:r>
        <w:rPr>
          <w:rFonts w:ascii="Times New Roman" w:hAnsi="Times New Roman" w:eastAsia="仿宋_GB2312" w:cs="Times New Roman"/>
          <w:sz w:val="32"/>
          <w:szCs w:val="24"/>
        </w:rPr>
        <w:t>万元。具体内容见下表。</w:t>
      </w:r>
    </w:p>
    <w:p>
      <w:pPr>
        <w:pStyle w:val="2"/>
        <w:rPr>
          <w:rFonts w:ascii="Times New Roman" w:hAnsi="Times New Roman" w:eastAsia="仿宋_GB2312" w:cs="Times New Roman"/>
          <w:sz w:val="32"/>
          <w:szCs w:val="24"/>
        </w:rPr>
      </w:pPr>
    </w:p>
    <w:p>
      <w:pPr>
        <w:spacing w:before="0" w:after="0" w:line="240" w:lineRule="auto"/>
        <w:ind w:firstLine="0"/>
        <w:jc w:val="center"/>
        <w:outlineLvl w:val="9"/>
      </w:pPr>
      <w:r>
        <w:rPr>
          <w:rFonts w:ascii="方正小标宋_GBK" w:hAnsi="方正小标宋_GBK" w:eastAsia="方正小标宋_GBK" w:cs="方正小标宋_GBK"/>
          <w:color w:val="000000"/>
          <w:sz w:val="36"/>
        </w:rPr>
        <w:t>部门政府采购预算</w:t>
      </w:r>
    </w:p>
    <w:tbl>
      <w:tblPr>
        <w:tblStyle w:val="11"/>
        <w:tblW w:w="1478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085"/>
        <w:gridCol w:w="900"/>
        <w:gridCol w:w="1065"/>
        <w:gridCol w:w="1320"/>
        <w:gridCol w:w="675"/>
        <w:gridCol w:w="780"/>
        <w:gridCol w:w="643"/>
        <w:gridCol w:w="924"/>
        <w:gridCol w:w="924"/>
        <w:gridCol w:w="924"/>
        <w:gridCol w:w="924"/>
        <w:gridCol w:w="924"/>
        <w:gridCol w:w="924"/>
        <w:gridCol w:w="924"/>
        <w:gridCol w:w="924"/>
        <w:gridCol w:w="92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6468" w:type="dxa"/>
            <w:gridSpan w:val="7"/>
            <w:tcBorders>
              <w:top w:val="single" w:color="FFFFFF" w:sz="6" w:space="0"/>
              <w:left w:val="single" w:color="FFFFFF" w:sz="6" w:space="0"/>
              <w:right w:val="single" w:color="FFFFFF" w:sz="6" w:space="0"/>
            </w:tcBorders>
            <w:vAlign w:val="center"/>
          </w:tcPr>
          <w:p>
            <w:pPr>
              <w:pStyle w:val="25"/>
            </w:pPr>
            <w:r>
              <w:t>485廊坊市农林科学院</w:t>
            </w:r>
          </w:p>
        </w:tc>
        <w:tc>
          <w:tcPr>
            <w:tcW w:w="8316" w:type="dxa"/>
            <w:gridSpan w:val="9"/>
            <w:tcBorders>
              <w:top w:val="single" w:color="FFFFFF" w:sz="6" w:space="0"/>
              <w:left w:val="single" w:color="FFFFFF" w:sz="6" w:space="0"/>
              <w:right w:val="single" w:color="FFFFFF" w:sz="6" w:space="0"/>
            </w:tcBorders>
            <w:vAlign w:val="center"/>
          </w:tcPr>
          <w:p>
            <w:pPr>
              <w:pStyle w:val="26"/>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1985" w:type="dxa"/>
            <w:gridSpan w:val="2"/>
            <w:vAlign w:val="center"/>
          </w:tcPr>
          <w:p>
            <w:pPr>
              <w:pStyle w:val="15"/>
            </w:pPr>
            <w:r>
              <w:t>政府采购项目来源</w:t>
            </w:r>
          </w:p>
        </w:tc>
        <w:tc>
          <w:tcPr>
            <w:tcW w:w="1065" w:type="dxa"/>
            <w:vMerge w:val="restart"/>
            <w:vAlign w:val="center"/>
          </w:tcPr>
          <w:p>
            <w:pPr>
              <w:pStyle w:val="15"/>
            </w:pPr>
            <w:r>
              <w:t>采购物品名称</w:t>
            </w:r>
          </w:p>
        </w:tc>
        <w:tc>
          <w:tcPr>
            <w:tcW w:w="1320" w:type="dxa"/>
            <w:vMerge w:val="restart"/>
            <w:vAlign w:val="center"/>
          </w:tcPr>
          <w:p>
            <w:pPr>
              <w:pStyle w:val="15"/>
            </w:pPr>
            <w:r>
              <w:t>政府采购目录序号</w:t>
            </w:r>
          </w:p>
        </w:tc>
        <w:tc>
          <w:tcPr>
            <w:tcW w:w="675" w:type="dxa"/>
            <w:vMerge w:val="restart"/>
            <w:vAlign w:val="center"/>
          </w:tcPr>
          <w:p>
            <w:pPr>
              <w:pStyle w:val="15"/>
            </w:pPr>
            <w:r>
              <w:t>计量  单位</w:t>
            </w:r>
          </w:p>
        </w:tc>
        <w:tc>
          <w:tcPr>
            <w:tcW w:w="780" w:type="dxa"/>
            <w:vMerge w:val="restart"/>
            <w:vAlign w:val="center"/>
          </w:tcPr>
          <w:p>
            <w:pPr>
              <w:pStyle w:val="15"/>
            </w:pPr>
            <w:r>
              <w:t>数量</w:t>
            </w:r>
          </w:p>
        </w:tc>
        <w:tc>
          <w:tcPr>
            <w:tcW w:w="643" w:type="dxa"/>
            <w:vMerge w:val="restart"/>
            <w:vAlign w:val="center"/>
          </w:tcPr>
          <w:p>
            <w:pPr>
              <w:pStyle w:val="15"/>
            </w:pPr>
            <w:r>
              <w:t>单价</w:t>
            </w:r>
          </w:p>
        </w:tc>
        <w:tc>
          <w:tcPr>
            <w:tcW w:w="7392" w:type="dxa"/>
            <w:gridSpan w:val="8"/>
            <w:vAlign w:val="center"/>
          </w:tcPr>
          <w:p>
            <w:pPr>
              <w:pStyle w:val="15"/>
            </w:pPr>
            <w:r>
              <w:t>政府采购金额（当年部门预算安排资金）</w:t>
            </w:r>
          </w:p>
        </w:tc>
        <w:tc>
          <w:tcPr>
            <w:tcW w:w="924" w:type="dxa"/>
            <w:vMerge w:val="restart"/>
            <w:vAlign w:val="center"/>
          </w:tcPr>
          <w:p>
            <w:pPr>
              <w:pStyle w:val="15"/>
            </w:pPr>
            <w:r>
              <w:t>2023年  预留中  小微企  业份额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1085" w:type="dxa"/>
            <w:vAlign w:val="center"/>
          </w:tcPr>
          <w:p>
            <w:pPr>
              <w:pStyle w:val="15"/>
            </w:pPr>
            <w:r>
              <w:t>项目名称</w:t>
            </w:r>
          </w:p>
        </w:tc>
        <w:tc>
          <w:tcPr>
            <w:tcW w:w="900" w:type="dxa"/>
            <w:vAlign w:val="center"/>
          </w:tcPr>
          <w:p>
            <w:pPr>
              <w:pStyle w:val="15"/>
            </w:pPr>
            <w:r>
              <w:t>预算    资金</w:t>
            </w:r>
          </w:p>
        </w:tc>
        <w:tc>
          <w:tcPr>
            <w:tcW w:w="1065" w:type="dxa"/>
            <w:vMerge w:val="continue"/>
          </w:tcPr>
          <w:p/>
        </w:tc>
        <w:tc>
          <w:tcPr>
            <w:tcW w:w="1320" w:type="dxa"/>
            <w:vMerge w:val="continue"/>
          </w:tcPr>
          <w:p/>
        </w:tc>
        <w:tc>
          <w:tcPr>
            <w:tcW w:w="675" w:type="dxa"/>
            <w:vMerge w:val="continue"/>
          </w:tcPr>
          <w:p/>
        </w:tc>
        <w:tc>
          <w:tcPr>
            <w:tcW w:w="780" w:type="dxa"/>
            <w:vMerge w:val="continue"/>
          </w:tcPr>
          <w:p/>
        </w:tc>
        <w:tc>
          <w:tcPr>
            <w:tcW w:w="643" w:type="dxa"/>
            <w:vMerge w:val="continue"/>
          </w:tcPr>
          <w:p/>
        </w:tc>
        <w:tc>
          <w:tcPr>
            <w:tcW w:w="924" w:type="dxa"/>
            <w:vAlign w:val="center"/>
          </w:tcPr>
          <w:p>
            <w:pPr>
              <w:pStyle w:val="15"/>
            </w:pPr>
            <w:r>
              <w:t>合计</w:t>
            </w:r>
          </w:p>
        </w:tc>
        <w:tc>
          <w:tcPr>
            <w:tcW w:w="924" w:type="dxa"/>
            <w:vAlign w:val="center"/>
          </w:tcPr>
          <w:p>
            <w:pPr>
              <w:pStyle w:val="15"/>
            </w:pPr>
            <w:r>
              <w:t>一般公共预算拨款</w:t>
            </w:r>
          </w:p>
        </w:tc>
        <w:tc>
          <w:tcPr>
            <w:tcW w:w="924" w:type="dxa"/>
            <w:vAlign w:val="center"/>
          </w:tcPr>
          <w:p>
            <w:pPr>
              <w:pStyle w:val="15"/>
            </w:pPr>
            <w:r>
              <w:t>基金预算拨款</w:t>
            </w:r>
          </w:p>
        </w:tc>
        <w:tc>
          <w:tcPr>
            <w:tcW w:w="924" w:type="dxa"/>
            <w:vAlign w:val="center"/>
          </w:tcPr>
          <w:p>
            <w:pPr>
              <w:pStyle w:val="15"/>
            </w:pPr>
            <w:r>
              <w:t>国有资本经营预算拨款</w:t>
            </w:r>
          </w:p>
        </w:tc>
        <w:tc>
          <w:tcPr>
            <w:tcW w:w="924" w:type="dxa"/>
            <w:vAlign w:val="center"/>
          </w:tcPr>
          <w:p>
            <w:pPr>
              <w:pStyle w:val="15"/>
            </w:pPr>
            <w:r>
              <w:t>财政专户核拨</w:t>
            </w:r>
          </w:p>
        </w:tc>
        <w:tc>
          <w:tcPr>
            <w:tcW w:w="924" w:type="dxa"/>
            <w:vAlign w:val="center"/>
          </w:tcPr>
          <w:p>
            <w:pPr>
              <w:pStyle w:val="15"/>
            </w:pPr>
            <w:r>
              <w:t>单位    资金</w:t>
            </w:r>
          </w:p>
        </w:tc>
        <w:tc>
          <w:tcPr>
            <w:tcW w:w="924" w:type="dxa"/>
            <w:vAlign w:val="center"/>
          </w:tcPr>
          <w:p>
            <w:pPr>
              <w:pStyle w:val="15"/>
            </w:pPr>
            <w:r>
              <w:t>财政拨    款结转</w:t>
            </w:r>
          </w:p>
        </w:tc>
        <w:tc>
          <w:tcPr>
            <w:tcW w:w="924" w:type="dxa"/>
            <w:vAlign w:val="center"/>
          </w:tcPr>
          <w:p>
            <w:pPr>
              <w:pStyle w:val="15"/>
            </w:pPr>
            <w:r>
              <w:t>非财政    拨款结    转结余</w:t>
            </w:r>
          </w:p>
        </w:tc>
        <w:tc>
          <w:tcPr>
            <w:tcW w:w="924"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jc w:val="center"/>
        </w:trPr>
        <w:tc>
          <w:tcPr>
            <w:tcW w:w="1085" w:type="dxa"/>
            <w:vAlign w:val="center"/>
          </w:tcPr>
          <w:p>
            <w:pPr>
              <w:pStyle w:val="17"/>
              <w:rPr>
                <w:rFonts w:hint="default" w:eastAsia="方正书宋_GBK"/>
                <w:lang w:val="en-US" w:eastAsia="zh-CN"/>
              </w:rPr>
            </w:pPr>
            <w:r>
              <w:rPr>
                <w:rFonts w:hint="eastAsia"/>
                <w:lang w:val="en-US" w:eastAsia="zh-CN"/>
              </w:rPr>
              <w:t>2023年运转类公用项目（年初预算）</w:t>
            </w:r>
          </w:p>
        </w:tc>
        <w:tc>
          <w:tcPr>
            <w:tcW w:w="900" w:type="dxa"/>
            <w:vAlign w:val="center"/>
          </w:tcPr>
          <w:p>
            <w:pPr>
              <w:pStyle w:val="16"/>
              <w:rPr>
                <w:rFonts w:hint="default" w:eastAsia="方正书宋_GBK"/>
                <w:lang w:val="en-US" w:eastAsia="zh-CN"/>
              </w:rPr>
            </w:pPr>
            <w:r>
              <w:rPr>
                <w:rFonts w:hint="eastAsia"/>
                <w:lang w:val="en-US" w:eastAsia="zh-CN"/>
              </w:rPr>
              <w:t>163.56</w:t>
            </w:r>
          </w:p>
        </w:tc>
        <w:tc>
          <w:tcPr>
            <w:tcW w:w="1065" w:type="dxa"/>
            <w:vAlign w:val="center"/>
          </w:tcPr>
          <w:p>
            <w:pPr>
              <w:pStyle w:val="17"/>
            </w:pPr>
            <w:r>
              <w:rPr>
                <w:rFonts w:hint="eastAsia"/>
              </w:rPr>
              <w:t>复印纸</w:t>
            </w:r>
          </w:p>
        </w:tc>
        <w:tc>
          <w:tcPr>
            <w:tcW w:w="1320" w:type="dxa"/>
            <w:vAlign w:val="center"/>
          </w:tcPr>
          <w:p>
            <w:pPr>
              <w:pStyle w:val="17"/>
            </w:pPr>
            <w:r>
              <w:rPr>
                <w:rFonts w:hint="eastAsia"/>
              </w:rPr>
              <w:t>A05040101</w:t>
            </w:r>
          </w:p>
        </w:tc>
        <w:tc>
          <w:tcPr>
            <w:tcW w:w="675" w:type="dxa"/>
            <w:vAlign w:val="center"/>
          </w:tcPr>
          <w:p>
            <w:pPr>
              <w:pStyle w:val="18"/>
              <w:rPr>
                <w:rFonts w:hint="eastAsia" w:eastAsia="方正书宋_GBK"/>
                <w:lang w:eastAsia="zh-CN"/>
              </w:rPr>
            </w:pPr>
            <w:r>
              <w:rPr>
                <w:rFonts w:hint="eastAsia"/>
                <w:lang w:eastAsia="zh-CN"/>
              </w:rPr>
              <w:t>箱</w:t>
            </w:r>
          </w:p>
        </w:tc>
        <w:tc>
          <w:tcPr>
            <w:tcW w:w="780" w:type="dxa"/>
            <w:vAlign w:val="center"/>
          </w:tcPr>
          <w:p>
            <w:pPr>
              <w:pStyle w:val="16"/>
              <w:rPr>
                <w:rFonts w:hint="default" w:eastAsia="方正书宋_GBK"/>
                <w:lang w:val="en-US" w:eastAsia="zh-CN"/>
              </w:rPr>
            </w:pPr>
            <w:r>
              <w:rPr>
                <w:rFonts w:hint="eastAsia"/>
                <w:lang w:val="en-US" w:eastAsia="zh-CN"/>
              </w:rPr>
              <w:t>70</w:t>
            </w:r>
          </w:p>
        </w:tc>
        <w:tc>
          <w:tcPr>
            <w:tcW w:w="643" w:type="dxa"/>
            <w:vAlign w:val="center"/>
          </w:tcPr>
          <w:p>
            <w:pPr>
              <w:pStyle w:val="16"/>
              <w:rPr>
                <w:rFonts w:hint="default" w:eastAsia="方正书宋_GBK"/>
                <w:lang w:val="en-US" w:eastAsia="zh-CN"/>
              </w:rPr>
            </w:pPr>
            <w:r>
              <w:rPr>
                <w:rFonts w:hint="eastAsia"/>
                <w:lang w:val="en-US" w:eastAsia="zh-CN"/>
              </w:rPr>
              <w:t>0.03</w:t>
            </w:r>
          </w:p>
        </w:tc>
        <w:tc>
          <w:tcPr>
            <w:tcW w:w="924" w:type="dxa"/>
            <w:vAlign w:val="center"/>
          </w:tcPr>
          <w:p>
            <w:pPr>
              <w:pStyle w:val="16"/>
              <w:rPr>
                <w:rFonts w:hint="default" w:eastAsia="方正书宋_GBK"/>
                <w:lang w:val="en-US" w:eastAsia="zh-CN"/>
              </w:rPr>
            </w:pPr>
            <w:r>
              <w:rPr>
                <w:rFonts w:hint="eastAsia"/>
                <w:lang w:val="en-US" w:eastAsia="zh-CN"/>
              </w:rPr>
              <w:t>2.1</w:t>
            </w:r>
          </w:p>
        </w:tc>
        <w:tc>
          <w:tcPr>
            <w:tcW w:w="924"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2.1</w:t>
            </w: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2.1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085" w:type="dxa"/>
            <w:vAlign w:val="center"/>
          </w:tcPr>
          <w:p>
            <w:pPr>
              <w:pStyle w:val="17"/>
              <w:rPr>
                <w:rFonts w:hint="default" w:ascii="方正书宋_GBK" w:hAnsi="方正书宋_GBK" w:eastAsia="方正书宋_GBK" w:cs="方正书宋_GBK"/>
                <w:kern w:val="0"/>
                <w:sz w:val="21"/>
                <w:szCs w:val="24"/>
                <w:lang w:val="en-US" w:eastAsia="zh-CN" w:bidi="ar-SA"/>
              </w:rPr>
            </w:pPr>
            <w:r>
              <w:rPr>
                <w:rFonts w:hint="eastAsia"/>
                <w:lang w:val="en-US" w:eastAsia="zh-CN"/>
              </w:rPr>
              <w:t>2023年运转类公用项目（年初预算）</w:t>
            </w:r>
          </w:p>
        </w:tc>
        <w:tc>
          <w:tcPr>
            <w:tcW w:w="900"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163.56</w:t>
            </w:r>
          </w:p>
        </w:tc>
        <w:tc>
          <w:tcPr>
            <w:tcW w:w="1065" w:type="dxa"/>
            <w:vAlign w:val="center"/>
          </w:tcPr>
          <w:p>
            <w:pPr>
              <w:pStyle w:val="17"/>
            </w:pPr>
            <w:r>
              <w:rPr>
                <w:rFonts w:hint="eastAsia"/>
              </w:rPr>
              <w:t>鼓粉盒</w:t>
            </w:r>
          </w:p>
        </w:tc>
        <w:tc>
          <w:tcPr>
            <w:tcW w:w="1320" w:type="dxa"/>
            <w:vAlign w:val="center"/>
          </w:tcPr>
          <w:p>
            <w:pPr>
              <w:pStyle w:val="17"/>
            </w:pPr>
            <w:r>
              <w:rPr>
                <w:rFonts w:hint="eastAsia"/>
              </w:rPr>
              <w:t>A05040201</w:t>
            </w:r>
          </w:p>
        </w:tc>
        <w:tc>
          <w:tcPr>
            <w:tcW w:w="675" w:type="dxa"/>
            <w:vAlign w:val="center"/>
          </w:tcPr>
          <w:p>
            <w:pPr>
              <w:pStyle w:val="18"/>
              <w:rPr>
                <w:rFonts w:hint="eastAsia" w:eastAsia="方正书宋_GBK"/>
                <w:lang w:eastAsia="zh-CN"/>
              </w:rPr>
            </w:pPr>
            <w:r>
              <w:rPr>
                <w:rFonts w:hint="eastAsia"/>
                <w:lang w:eastAsia="zh-CN"/>
              </w:rPr>
              <w:t>只</w:t>
            </w:r>
          </w:p>
        </w:tc>
        <w:tc>
          <w:tcPr>
            <w:tcW w:w="780" w:type="dxa"/>
            <w:vAlign w:val="center"/>
          </w:tcPr>
          <w:p>
            <w:pPr>
              <w:pStyle w:val="16"/>
              <w:rPr>
                <w:rFonts w:hint="default" w:eastAsia="方正书宋_GBK"/>
                <w:lang w:val="en-US" w:eastAsia="zh-CN"/>
              </w:rPr>
            </w:pPr>
            <w:r>
              <w:rPr>
                <w:rFonts w:hint="eastAsia"/>
                <w:lang w:val="en-US" w:eastAsia="zh-CN"/>
              </w:rPr>
              <w:t>74</w:t>
            </w:r>
          </w:p>
        </w:tc>
        <w:tc>
          <w:tcPr>
            <w:tcW w:w="643" w:type="dxa"/>
            <w:vAlign w:val="center"/>
          </w:tcPr>
          <w:p>
            <w:pPr>
              <w:pStyle w:val="16"/>
              <w:rPr>
                <w:rFonts w:hint="default" w:eastAsia="方正书宋_GBK"/>
                <w:lang w:val="en-US" w:eastAsia="zh-CN"/>
              </w:rPr>
            </w:pPr>
            <w:r>
              <w:rPr>
                <w:rFonts w:hint="eastAsia"/>
                <w:lang w:val="en-US" w:eastAsia="zh-CN"/>
              </w:rPr>
              <w:t>0.05</w:t>
            </w:r>
          </w:p>
        </w:tc>
        <w:tc>
          <w:tcPr>
            <w:tcW w:w="924" w:type="dxa"/>
            <w:vAlign w:val="center"/>
          </w:tcPr>
          <w:p>
            <w:pPr>
              <w:pStyle w:val="16"/>
              <w:rPr>
                <w:rFonts w:hint="default" w:eastAsia="方正书宋_GBK"/>
                <w:lang w:val="en-US" w:eastAsia="zh-CN"/>
              </w:rPr>
            </w:pPr>
            <w:r>
              <w:rPr>
                <w:rFonts w:hint="eastAsia"/>
                <w:lang w:val="en-US" w:eastAsia="zh-CN"/>
              </w:rPr>
              <w:t>3.7</w:t>
            </w:r>
          </w:p>
        </w:tc>
        <w:tc>
          <w:tcPr>
            <w:tcW w:w="924"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3.7</w:t>
            </w: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3.7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085" w:type="dxa"/>
            <w:vAlign w:val="center"/>
          </w:tcPr>
          <w:p>
            <w:pPr>
              <w:pStyle w:val="17"/>
              <w:rPr>
                <w:rFonts w:hint="default" w:ascii="方正书宋_GBK" w:hAnsi="方正书宋_GBK" w:eastAsia="方正书宋_GBK" w:cs="方正书宋_GBK"/>
                <w:kern w:val="0"/>
                <w:sz w:val="21"/>
                <w:szCs w:val="24"/>
                <w:lang w:val="en-US" w:eastAsia="zh-CN" w:bidi="ar-SA"/>
              </w:rPr>
            </w:pPr>
            <w:r>
              <w:rPr>
                <w:rFonts w:hint="eastAsia"/>
                <w:lang w:val="en-US" w:eastAsia="zh-CN"/>
              </w:rPr>
              <w:t>2023年运转类公用项目（年初预算）</w:t>
            </w:r>
          </w:p>
        </w:tc>
        <w:tc>
          <w:tcPr>
            <w:tcW w:w="900"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163.56</w:t>
            </w:r>
          </w:p>
        </w:tc>
        <w:tc>
          <w:tcPr>
            <w:tcW w:w="1065" w:type="dxa"/>
            <w:vAlign w:val="center"/>
          </w:tcPr>
          <w:p>
            <w:pPr>
              <w:pStyle w:val="17"/>
            </w:pPr>
            <w:r>
              <w:rPr>
                <w:rFonts w:hint="eastAsia"/>
              </w:rPr>
              <w:t>其他办公用品</w:t>
            </w:r>
          </w:p>
        </w:tc>
        <w:tc>
          <w:tcPr>
            <w:tcW w:w="1320" w:type="dxa"/>
            <w:vAlign w:val="center"/>
          </w:tcPr>
          <w:p>
            <w:pPr>
              <w:pStyle w:val="17"/>
            </w:pPr>
            <w:r>
              <w:rPr>
                <w:rFonts w:hint="eastAsia"/>
              </w:rPr>
              <w:t>A05049900</w:t>
            </w:r>
          </w:p>
        </w:tc>
        <w:tc>
          <w:tcPr>
            <w:tcW w:w="675" w:type="dxa"/>
            <w:vAlign w:val="center"/>
          </w:tcPr>
          <w:p>
            <w:pPr>
              <w:pStyle w:val="18"/>
              <w:rPr>
                <w:rFonts w:hint="eastAsia" w:eastAsia="方正书宋_GBK"/>
                <w:lang w:eastAsia="zh-CN"/>
              </w:rPr>
            </w:pPr>
            <w:r>
              <w:rPr>
                <w:rFonts w:hint="eastAsia"/>
                <w:lang w:eastAsia="zh-CN"/>
              </w:rPr>
              <w:t>只</w:t>
            </w:r>
          </w:p>
        </w:tc>
        <w:tc>
          <w:tcPr>
            <w:tcW w:w="780" w:type="dxa"/>
            <w:vAlign w:val="center"/>
          </w:tcPr>
          <w:p>
            <w:pPr>
              <w:pStyle w:val="16"/>
              <w:rPr>
                <w:rFonts w:hint="eastAsia" w:eastAsia="方正书宋_GBK"/>
                <w:lang w:val="en-US" w:eastAsia="zh-CN"/>
              </w:rPr>
            </w:pPr>
            <w:r>
              <w:rPr>
                <w:rFonts w:hint="eastAsia"/>
                <w:lang w:val="en-US" w:eastAsia="zh-CN"/>
              </w:rPr>
              <w:t>5</w:t>
            </w:r>
          </w:p>
        </w:tc>
        <w:tc>
          <w:tcPr>
            <w:tcW w:w="643" w:type="dxa"/>
            <w:vAlign w:val="center"/>
          </w:tcPr>
          <w:p>
            <w:pPr>
              <w:pStyle w:val="16"/>
              <w:rPr>
                <w:rFonts w:hint="default" w:eastAsia="方正书宋_GBK"/>
                <w:lang w:val="en-US" w:eastAsia="zh-CN"/>
              </w:rPr>
            </w:pPr>
            <w:r>
              <w:rPr>
                <w:rFonts w:hint="eastAsia"/>
                <w:lang w:val="en-US" w:eastAsia="zh-CN"/>
              </w:rPr>
              <w:t>0.06</w:t>
            </w:r>
          </w:p>
        </w:tc>
        <w:tc>
          <w:tcPr>
            <w:tcW w:w="924" w:type="dxa"/>
            <w:vAlign w:val="center"/>
          </w:tcPr>
          <w:p>
            <w:pPr>
              <w:pStyle w:val="16"/>
              <w:rPr>
                <w:rFonts w:hint="default" w:eastAsia="方正书宋_GBK"/>
                <w:lang w:val="en-US" w:eastAsia="zh-CN"/>
              </w:rPr>
            </w:pPr>
            <w:r>
              <w:rPr>
                <w:rFonts w:hint="eastAsia"/>
                <w:lang w:val="en-US" w:eastAsia="zh-CN"/>
              </w:rPr>
              <w:t>0.3</w:t>
            </w:r>
          </w:p>
        </w:tc>
        <w:tc>
          <w:tcPr>
            <w:tcW w:w="924"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0.3</w:t>
            </w: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0.3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085" w:type="dxa"/>
            <w:vAlign w:val="center"/>
          </w:tcPr>
          <w:p>
            <w:pPr>
              <w:pStyle w:val="17"/>
              <w:rPr>
                <w:rFonts w:hint="default" w:ascii="方正书宋_GBK" w:hAnsi="方正书宋_GBK" w:eastAsia="方正书宋_GBK" w:cs="方正书宋_GBK"/>
                <w:kern w:val="0"/>
                <w:sz w:val="21"/>
                <w:szCs w:val="24"/>
                <w:lang w:val="en-US" w:eastAsia="zh-CN" w:bidi="ar-SA"/>
              </w:rPr>
            </w:pPr>
            <w:r>
              <w:rPr>
                <w:rFonts w:hint="eastAsia"/>
                <w:lang w:val="en-US" w:eastAsia="zh-CN"/>
              </w:rPr>
              <w:t>2023年运转类公用项目（年初预算）</w:t>
            </w:r>
          </w:p>
        </w:tc>
        <w:tc>
          <w:tcPr>
            <w:tcW w:w="900"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163.56</w:t>
            </w:r>
          </w:p>
        </w:tc>
        <w:tc>
          <w:tcPr>
            <w:tcW w:w="1065" w:type="dxa"/>
            <w:vAlign w:val="center"/>
          </w:tcPr>
          <w:p>
            <w:pPr>
              <w:pStyle w:val="17"/>
            </w:pPr>
            <w:r>
              <w:rPr>
                <w:rFonts w:hint="eastAsia"/>
              </w:rPr>
              <w:t>便携式计算机</w:t>
            </w:r>
          </w:p>
        </w:tc>
        <w:tc>
          <w:tcPr>
            <w:tcW w:w="1320" w:type="dxa"/>
            <w:vAlign w:val="center"/>
          </w:tcPr>
          <w:p>
            <w:pPr>
              <w:pStyle w:val="17"/>
            </w:pPr>
            <w:r>
              <w:rPr>
                <w:rFonts w:hint="eastAsia"/>
              </w:rPr>
              <w:t>A02010108</w:t>
            </w:r>
          </w:p>
        </w:tc>
        <w:tc>
          <w:tcPr>
            <w:tcW w:w="675" w:type="dxa"/>
            <w:vAlign w:val="center"/>
          </w:tcPr>
          <w:p>
            <w:pPr>
              <w:pStyle w:val="18"/>
              <w:rPr>
                <w:rFonts w:hint="eastAsia" w:eastAsia="方正书宋_GBK"/>
                <w:lang w:eastAsia="zh-CN"/>
              </w:rPr>
            </w:pPr>
            <w:r>
              <w:rPr>
                <w:rFonts w:hint="eastAsia"/>
                <w:lang w:eastAsia="zh-CN"/>
              </w:rPr>
              <w:t>台</w:t>
            </w:r>
          </w:p>
        </w:tc>
        <w:tc>
          <w:tcPr>
            <w:tcW w:w="780" w:type="dxa"/>
            <w:vAlign w:val="center"/>
          </w:tcPr>
          <w:p>
            <w:pPr>
              <w:pStyle w:val="16"/>
              <w:rPr>
                <w:rFonts w:hint="eastAsia" w:eastAsia="方正书宋_GBK"/>
                <w:lang w:val="en-US" w:eastAsia="zh-CN"/>
              </w:rPr>
            </w:pPr>
            <w:r>
              <w:rPr>
                <w:rFonts w:hint="eastAsia"/>
                <w:lang w:val="en-US" w:eastAsia="zh-CN"/>
              </w:rPr>
              <w:t>4</w:t>
            </w:r>
          </w:p>
        </w:tc>
        <w:tc>
          <w:tcPr>
            <w:tcW w:w="643" w:type="dxa"/>
            <w:vAlign w:val="center"/>
          </w:tcPr>
          <w:p>
            <w:pPr>
              <w:pStyle w:val="16"/>
              <w:rPr>
                <w:rFonts w:hint="default" w:eastAsia="方正书宋_GBK"/>
                <w:lang w:val="en-US" w:eastAsia="zh-CN"/>
              </w:rPr>
            </w:pPr>
            <w:r>
              <w:rPr>
                <w:rFonts w:hint="eastAsia"/>
                <w:lang w:val="en-US" w:eastAsia="zh-CN"/>
              </w:rPr>
              <w:t>0.7</w:t>
            </w:r>
          </w:p>
        </w:tc>
        <w:tc>
          <w:tcPr>
            <w:tcW w:w="924" w:type="dxa"/>
            <w:vAlign w:val="center"/>
          </w:tcPr>
          <w:p>
            <w:pPr>
              <w:pStyle w:val="16"/>
              <w:rPr>
                <w:rFonts w:hint="default" w:eastAsia="方正书宋_GBK"/>
                <w:lang w:val="en-US" w:eastAsia="zh-CN"/>
              </w:rPr>
            </w:pPr>
            <w:r>
              <w:rPr>
                <w:rFonts w:hint="eastAsia"/>
                <w:lang w:val="en-US" w:eastAsia="zh-CN"/>
              </w:rPr>
              <w:t>2.8</w:t>
            </w:r>
          </w:p>
        </w:tc>
        <w:tc>
          <w:tcPr>
            <w:tcW w:w="924"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2.8</w:t>
            </w: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2.8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jc w:val="center"/>
        </w:trPr>
        <w:tc>
          <w:tcPr>
            <w:tcW w:w="1085" w:type="dxa"/>
            <w:vAlign w:val="center"/>
          </w:tcPr>
          <w:p>
            <w:pPr>
              <w:pStyle w:val="17"/>
              <w:rPr>
                <w:rFonts w:hint="default" w:ascii="方正书宋_GBK" w:hAnsi="方正书宋_GBK" w:eastAsia="方正书宋_GBK" w:cs="方正书宋_GBK"/>
                <w:kern w:val="0"/>
                <w:sz w:val="21"/>
                <w:szCs w:val="24"/>
                <w:lang w:val="en-US" w:eastAsia="zh-CN" w:bidi="ar-SA"/>
              </w:rPr>
            </w:pPr>
            <w:r>
              <w:rPr>
                <w:rFonts w:hint="eastAsia"/>
                <w:lang w:val="en-US" w:eastAsia="zh-CN"/>
              </w:rPr>
              <w:t>2023年运转类公用项目（年初预算）</w:t>
            </w:r>
          </w:p>
        </w:tc>
        <w:tc>
          <w:tcPr>
            <w:tcW w:w="900"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163.56</w:t>
            </w:r>
          </w:p>
        </w:tc>
        <w:tc>
          <w:tcPr>
            <w:tcW w:w="1065" w:type="dxa"/>
            <w:vAlign w:val="center"/>
          </w:tcPr>
          <w:p>
            <w:pPr>
              <w:pStyle w:val="17"/>
            </w:pPr>
            <w:r>
              <w:rPr>
                <w:rFonts w:hint="eastAsia"/>
              </w:rPr>
              <w:t>空调机</w:t>
            </w:r>
          </w:p>
        </w:tc>
        <w:tc>
          <w:tcPr>
            <w:tcW w:w="1320" w:type="dxa"/>
            <w:vAlign w:val="center"/>
          </w:tcPr>
          <w:p>
            <w:pPr>
              <w:pStyle w:val="17"/>
            </w:pPr>
            <w:r>
              <w:rPr>
                <w:rFonts w:hint="eastAsia"/>
              </w:rPr>
              <w:t>A02061804</w:t>
            </w:r>
          </w:p>
        </w:tc>
        <w:tc>
          <w:tcPr>
            <w:tcW w:w="675" w:type="dxa"/>
            <w:vAlign w:val="center"/>
          </w:tcPr>
          <w:p>
            <w:pPr>
              <w:pStyle w:val="18"/>
              <w:rPr>
                <w:rFonts w:hint="eastAsia" w:eastAsia="方正书宋_GBK"/>
                <w:lang w:eastAsia="zh-CN"/>
              </w:rPr>
            </w:pPr>
            <w:r>
              <w:rPr>
                <w:rFonts w:hint="eastAsia"/>
                <w:lang w:eastAsia="zh-CN"/>
              </w:rPr>
              <w:t>台</w:t>
            </w:r>
          </w:p>
        </w:tc>
        <w:tc>
          <w:tcPr>
            <w:tcW w:w="780" w:type="dxa"/>
            <w:vAlign w:val="center"/>
          </w:tcPr>
          <w:p>
            <w:pPr>
              <w:pStyle w:val="16"/>
              <w:rPr>
                <w:rFonts w:hint="eastAsia" w:eastAsia="方正书宋_GBK"/>
                <w:lang w:val="en-US" w:eastAsia="zh-CN"/>
              </w:rPr>
            </w:pPr>
            <w:r>
              <w:rPr>
                <w:rFonts w:hint="eastAsia"/>
                <w:lang w:val="en-US" w:eastAsia="zh-CN"/>
              </w:rPr>
              <w:t>1</w:t>
            </w:r>
          </w:p>
        </w:tc>
        <w:tc>
          <w:tcPr>
            <w:tcW w:w="643" w:type="dxa"/>
            <w:vAlign w:val="center"/>
          </w:tcPr>
          <w:p>
            <w:pPr>
              <w:pStyle w:val="16"/>
              <w:rPr>
                <w:rFonts w:hint="default" w:eastAsia="方正书宋_GBK"/>
                <w:lang w:val="en-US" w:eastAsia="zh-CN"/>
              </w:rPr>
            </w:pPr>
            <w:r>
              <w:rPr>
                <w:rFonts w:hint="eastAsia"/>
                <w:lang w:val="en-US" w:eastAsia="zh-CN"/>
              </w:rPr>
              <w:t>0.9</w:t>
            </w:r>
          </w:p>
        </w:tc>
        <w:tc>
          <w:tcPr>
            <w:tcW w:w="924" w:type="dxa"/>
            <w:vAlign w:val="center"/>
          </w:tcPr>
          <w:p>
            <w:pPr>
              <w:pStyle w:val="16"/>
              <w:rPr>
                <w:rFonts w:hint="default" w:eastAsia="方正书宋_GBK"/>
                <w:lang w:val="en-US" w:eastAsia="zh-CN"/>
              </w:rPr>
            </w:pPr>
            <w:r>
              <w:rPr>
                <w:rFonts w:hint="eastAsia"/>
                <w:lang w:val="en-US" w:eastAsia="zh-CN"/>
              </w:rPr>
              <w:t>0.9</w:t>
            </w:r>
          </w:p>
        </w:tc>
        <w:tc>
          <w:tcPr>
            <w:tcW w:w="924"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0.9</w:t>
            </w: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0.9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085" w:type="dxa"/>
            <w:vAlign w:val="center"/>
          </w:tcPr>
          <w:p>
            <w:pPr>
              <w:pStyle w:val="17"/>
              <w:rPr>
                <w:rFonts w:hint="default" w:ascii="方正书宋_GBK" w:hAnsi="方正书宋_GBK" w:eastAsia="方正书宋_GBK" w:cs="方正书宋_GBK"/>
                <w:kern w:val="0"/>
                <w:sz w:val="21"/>
                <w:szCs w:val="24"/>
                <w:lang w:val="en-US" w:eastAsia="zh-CN" w:bidi="ar-SA"/>
              </w:rPr>
            </w:pPr>
            <w:r>
              <w:rPr>
                <w:rFonts w:hint="eastAsia"/>
                <w:lang w:val="en-US" w:eastAsia="zh-CN"/>
              </w:rPr>
              <w:t>2023年运转类公用项目（年初预算）</w:t>
            </w:r>
          </w:p>
        </w:tc>
        <w:tc>
          <w:tcPr>
            <w:tcW w:w="900"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163.56</w:t>
            </w:r>
          </w:p>
        </w:tc>
        <w:tc>
          <w:tcPr>
            <w:tcW w:w="1065" w:type="dxa"/>
            <w:vAlign w:val="center"/>
          </w:tcPr>
          <w:p>
            <w:pPr>
              <w:pStyle w:val="17"/>
            </w:pPr>
            <w:r>
              <w:rPr>
                <w:rFonts w:hint="eastAsia"/>
              </w:rPr>
              <w:t>空调机</w:t>
            </w:r>
          </w:p>
        </w:tc>
        <w:tc>
          <w:tcPr>
            <w:tcW w:w="1320" w:type="dxa"/>
            <w:vAlign w:val="center"/>
          </w:tcPr>
          <w:p>
            <w:pPr>
              <w:pStyle w:val="17"/>
            </w:pPr>
            <w:r>
              <w:rPr>
                <w:rFonts w:hint="eastAsia"/>
              </w:rPr>
              <w:t>A02061804</w:t>
            </w:r>
          </w:p>
        </w:tc>
        <w:tc>
          <w:tcPr>
            <w:tcW w:w="675" w:type="dxa"/>
            <w:vAlign w:val="center"/>
          </w:tcPr>
          <w:p>
            <w:pPr>
              <w:pStyle w:val="18"/>
              <w:rPr>
                <w:rFonts w:hint="eastAsia" w:eastAsia="方正书宋_GBK"/>
                <w:lang w:eastAsia="zh-CN"/>
              </w:rPr>
            </w:pPr>
            <w:r>
              <w:rPr>
                <w:rFonts w:hint="eastAsia"/>
                <w:lang w:eastAsia="zh-CN"/>
              </w:rPr>
              <w:t>台</w:t>
            </w:r>
          </w:p>
        </w:tc>
        <w:tc>
          <w:tcPr>
            <w:tcW w:w="780" w:type="dxa"/>
            <w:vAlign w:val="center"/>
          </w:tcPr>
          <w:p>
            <w:pPr>
              <w:pStyle w:val="16"/>
              <w:rPr>
                <w:rFonts w:hint="eastAsia" w:eastAsia="方正书宋_GBK"/>
                <w:lang w:val="en-US" w:eastAsia="zh-CN"/>
              </w:rPr>
            </w:pPr>
            <w:r>
              <w:rPr>
                <w:rFonts w:hint="eastAsia"/>
                <w:lang w:val="en-US" w:eastAsia="zh-CN"/>
              </w:rPr>
              <w:t>9</w:t>
            </w:r>
          </w:p>
        </w:tc>
        <w:tc>
          <w:tcPr>
            <w:tcW w:w="643" w:type="dxa"/>
            <w:vAlign w:val="center"/>
          </w:tcPr>
          <w:p>
            <w:pPr>
              <w:pStyle w:val="16"/>
              <w:rPr>
                <w:rFonts w:hint="default" w:eastAsia="方正书宋_GBK"/>
                <w:lang w:val="en-US" w:eastAsia="zh-CN"/>
              </w:rPr>
            </w:pPr>
            <w:r>
              <w:rPr>
                <w:rFonts w:hint="eastAsia"/>
                <w:lang w:val="en-US" w:eastAsia="zh-CN"/>
              </w:rPr>
              <w:t>0.3</w:t>
            </w:r>
          </w:p>
        </w:tc>
        <w:tc>
          <w:tcPr>
            <w:tcW w:w="924" w:type="dxa"/>
            <w:vAlign w:val="center"/>
          </w:tcPr>
          <w:p>
            <w:pPr>
              <w:pStyle w:val="16"/>
              <w:rPr>
                <w:rFonts w:hint="default" w:eastAsia="方正书宋_GBK"/>
                <w:lang w:val="en-US" w:eastAsia="zh-CN"/>
              </w:rPr>
            </w:pPr>
            <w:r>
              <w:rPr>
                <w:rFonts w:hint="eastAsia"/>
                <w:lang w:val="en-US" w:eastAsia="zh-CN"/>
              </w:rPr>
              <w:t>2.7</w:t>
            </w:r>
          </w:p>
        </w:tc>
        <w:tc>
          <w:tcPr>
            <w:tcW w:w="924"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2.7</w:t>
            </w: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2.7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085" w:type="dxa"/>
            <w:vAlign w:val="center"/>
          </w:tcPr>
          <w:p>
            <w:pPr>
              <w:pStyle w:val="17"/>
              <w:rPr>
                <w:rFonts w:hint="default" w:ascii="方正书宋_GBK" w:hAnsi="方正书宋_GBK" w:eastAsia="方正书宋_GBK" w:cs="方正书宋_GBK"/>
                <w:kern w:val="0"/>
                <w:sz w:val="21"/>
                <w:szCs w:val="24"/>
                <w:lang w:val="en-US" w:eastAsia="zh-CN" w:bidi="ar-SA"/>
              </w:rPr>
            </w:pPr>
            <w:r>
              <w:rPr>
                <w:rFonts w:hint="eastAsia"/>
                <w:lang w:val="en-US" w:eastAsia="zh-CN"/>
              </w:rPr>
              <w:t>2023年运转类公用项目（年初预算）</w:t>
            </w:r>
          </w:p>
        </w:tc>
        <w:tc>
          <w:tcPr>
            <w:tcW w:w="900"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163.56</w:t>
            </w:r>
          </w:p>
        </w:tc>
        <w:tc>
          <w:tcPr>
            <w:tcW w:w="1065" w:type="dxa"/>
            <w:vAlign w:val="center"/>
          </w:tcPr>
          <w:p>
            <w:pPr>
              <w:pStyle w:val="17"/>
            </w:pPr>
            <w:r>
              <w:rPr>
                <w:rFonts w:hint="eastAsia"/>
              </w:rPr>
              <w:t>文件柜</w:t>
            </w:r>
          </w:p>
        </w:tc>
        <w:tc>
          <w:tcPr>
            <w:tcW w:w="1320" w:type="dxa"/>
            <w:vAlign w:val="center"/>
          </w:tcPr>
          <w:p>
            <w:pPr>
              <w:pStyle w:val="17"/>
            </w:pPr>
            <w:r>
              <w:rPr>
                <w:rFonts w:hint="eastAsia"/>
              </w:rPr>
              <w:t>A05010502</w:t>
            </w:r>
          </w:p>
        </w:tc>
        <w:tc>
          <w:tcPr>
            <w:tcW w:w="675" w:type="dxa"/>
            <w:vAlign w:val="center"/>
          </w:tcPr>
          <w:p>
            <w:pPr>
              <w:pStyle w:val="18"/>
              <w:rPr>
                <w:rFonts w:hint="eastAsia" w:eastAsia="方正书宋_GBK"/>
                <w:lang w:eastAsia="zh-CN"/>
              </w:rPr>
            </w:pPr>
            <w:r>
              <w:rPr>
                <w:rFonts w:hint="eastAsia"/>
                <w:lang w:eastAsia="zh-CN"/>
              </w:rPr>
              <w:t>个</w:t>
            </w:r>
          </w:p>
        </w:tc>
        <w:tc>
          <w:tcPr>
            <w:tcW w:w="780" w:type="dxa"/>
            <w:vAlign w:val="center"/>
          </w:tcPr>
          <w:p>
            <w:pPr>
              <w:pStyle w:val="16"/>
              <w:rPr>
                <w:rFonts w:hint="default" w:eastAsia="方正书宋_GBK"/>
                <w:lang w:val="en-US" w:eastAsia="zh-CN"/>
              </w:rPr>
            </w:pPr>
            <w:r>
              <w:rPr>
                <w:rFonts w:hint="eastAsia"/>
                <w:lang w:val="en-US" w:eastAsia="zh-CN"/>
              </w:rPr>
              <w:t>30</w:t>
            </w:r>
          </w:p>
        </w:tc>
        <w:tc>
          <w:tcPr>
            <w:tcW w:w="643" w:type="dxa"/>
            <w:vAlign w:val="center"/>
          </w:tcPr>
          <w:p>
            <w:pPr>
              <w:pStyle w:val="16"/>
              <w:rPr>
                <w:rFonts w:hint="default" w:eastAsia="方正书宋_GBK"/>
                <w:lang w:val="en-US" w:eastAsia="zh-CN"/>
              </w:rPr>
            </w:pPr>
            <w:r>
              <w:rPr>
                <w:rFonts w:hint="eastAsia"/>
                <w:lang w:val="en-US" w:eastAsia="zh-CN"/>
              </w:rPr>
              <w:t>0.1</w:t>
            </w:r>
          </w:p>
        </w:tc>
        <w:tc>
          <w:tcPr>
            <w:tcW w:w="924" w:type="dxa"/>
            <w:vAlign w:val="center"/>
          </w:tcPr>
          <w:p>
            <w:pPr>
              <w:pStyle w:val="16"/>
              <w:rPr>
                <w:rFonts w:hint="eastAsia" w:eastAsia="方正书宋_GBK"/>
                <w:lang w:val="en-US" w:eastAsia="zh-CN"/>
              </w:rPr>
            </w:pPr>
            <w:r>
              <w:rPr>
                <w:rFonts w:hint="eastAsia"/>
                <w:lang w:val="en-US" w:eastAsia="zh-CN"/>
              </w:rPr>
              <w:t>3</w:t>
            </w:r>
          </w:p>
        </w:tc>
        <w:tc>
          <w:tcPr>
            <w:tcW w:w="924" w:type="dxa"/>
            <w:vAlign w:val="center"/>
          </w:tcPr>
          <w:p>
            <w:pPr>
              <w:pStyle w:val="16"/>
              <w:rPr>
                <w:rFonts w:hint="eastAsia" w:ascii="方正书宋_GBK" w:hAnsi="方正书宋_GBK" w:eastAsia="方正书宋_GBK" w:cs="方正书宋_GBK"/>
                <w:kern w:val="0"/>
                <w:sz w:val="21"/>
                <w:szCs w:val="24"/>
                <w:lang w:val="en-US" w:eastAsia="zh-CN" w:bidi="ar-SA"/>
              </w:rPr>
            </w:pPr>
            <w:r>
              <w:rPr>
                <w:rFonts w:hint="eastAsia"/>
                <w:lang w:val="en-US" w:eastAsia="zh-CN"/>
              </w:rPr>
              <w:t>3</w:t>
            </w: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rPr>
                <w:rFonts w:hint="eastAsia" w:ascii="方正书宋_GBK" w:hAnsi="方正书宋_GBK" w:eastAsia="方正书宋_GBK" w:cs="方正书宋_GBK"/>
                <w:kern w:val="0"/>
                <w:sz w:val="21"/>
                <w:szCs w:val="24"/>
                <w:lang w:val="en-US" w:eastAsia="zh-CN" w:bidi="ar-SA"/>
              </w:rPr>
            </w:pPr>
            <w:r>
              <w:rPr>
                <w:rFonts w:hint="eastAsia"/>
                <w:lang w:val="en-US" w:eastAsia="zh-CN"/>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085" w:type="dxa"/>
            <w:vAlign w:val="center"/>
          </w:tcPr>
          <w:p>
            <w:pPr>
              <w:pStyle w:val="17"/>
              <w:rPr>
                <w:rFonts w:hint="default" w:ascii="方正书宋_GBK" w:hAnsi="方正书宋_GBK" w:eastAsia="方正书宋_GBK" w:cs="方正书宋_GBK"/>
                <w:kern w:val="0"/>
                <w:sz w:val="21"/>
                <w:szCs w:val="24"/>
                <w:lang w:val="en-US" w:eastAsia="zh-CN" w:bidi="ar-SA"/>
              </w:rPr>
            </w:pPr>
            <w:r>
              <w:rPr>
                <w:rFonts w:hint="eastAsia"/>
                <w:lang w:val="en-US" w:eastAsia="zh-CN"/>
              </w:rPr>
              <w:t>2023年运转类公用项目（年初预算）</w:t>
            </w:r>
          </w:p>
        </w:tc>
        <w:tc>
          <w:tcPr>
            <w:tcW w:w="900"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163.56</w:t>
            </w:r>
          </w:p>
        </w:tc>
        <w:tc>
          <w:tcPr>
            <w:tcW w:w="1065" w:type="dxa"/>
            <w:vAlign w:val="center"/>
          </w:tcPr>
          <w:p>
            <w:pPr>
              <w:pStyle w:val="17"/>
            </w:pPr>
            <w:r>
              <w:rPr>
                <w:rFonts w:hint="eastAsia"/>
              </w:rPr>
              <w:t>碎纸机</w:t>
            </w:r>
          </w:p>
        </w:tc>
        <w:tc>
          <w:tcPr>
            <w:tcW w:w="1320" w:type="dxa"/>
            <w:vAlign w:val="center"/>
          </w:tcPr>
          <w:p>
            <w:pPr>
              <w:pStyle w:val="17"/>
            </w:pPr>
            <w:r>
              <w:rPr>
                <w:rFonts w:hint="eastAsia"/>
              </w:rPr>
              <w:t>A02021301</w:t>
            </w:r>
          </w:p>
        </w:tc>
        <w:tc>
          <w:tcPr>
            <w:tcW w:w="675" w:type="dxa"/>
            <w:vAlign w:val="center"/>
          </w:tcPr>
          <w:p>
            <w:pPr>
              <w:pStyle w:val="18"/>
              <w:rPr>
                <w:rFonts w:hint="eastAsia" w:eastAsia="方正书宋_GBK"/>
                <w:lang w:eastAsia="zh-CN"/>
              </w:rPr>
            </w:pPr>
            <w:r>
              <w:rPr>
                <w:rFonts w:hint="eastAsia"/>
                <w:lang w:eastAsia="zh-CN"/>
              </w:rPr>
              <w:t>个</w:t>
            </w:r>
          </w:p>
        </w:tc>
        <w:tc>
          <w:tcPr>
            <w:tcW w:w="780" w:type="dxa"/>
            <w:vAlign w:val="center"/>
          </w:tcPr>
          <w:p>
            <w:pPr>
              <w:pStyle w:val="16"/>
              <w:rPr>
                <w:rFonts w:hint="eastAsia" w:eastAsia="方正书宋_GBK"/>
                <w:lang w:val="en-US" w:eastAsia="zh-CN"/>
              </w:rPr>
            </w:pPr>
            <w:r>
              <w:rPr>
                <w:rFonts w:hint="eastAsia"/>
                <w:lang w:val="en-US" w:eastAsia="zh-CN"/>
              </w:rPr>
              <w:t>1</w:t>
            </w:r>
          </w:p>
        </w:tc>
        <w:tc>
          <w:tcPr>
            <w:tcW w:w="643" w:type="dxa"/>
            <w:vAlign w:val="center"/>
          </w:tcPr>
          <w:p>
            <w:pPr>
              <w:pStyle w:val="16"/>
              <w:rPr>
                <w:rFonts w:hint="default" w:eastAsia="方正书宋_GBK"/>
                <w:lang w:val="en-US" w:eastAsia="zh-CN"/>
              </w:rPr>
            </w:pPr>
            <w:r>
              <w:rPr>
                <w:rFonts w:hint="eastAsia"/>
                <w:lang w:val="en-US" w:eastAsia="zh-CN"/>
              </w:rPr>
              <w:t>0.1</w:t>
            </w:r>
          </w:p>
        </w:tc>
        <w:tc>
          <w:tcPr>
            <w:tcW w:w="924" w:type="dxa"/>
            <w:vAlign w:val="center"/>
          </w:tcPr>
          <w:p>
            <w:pPr>
              <w:pStyle w:val="16"/>
              <w:rPr>
                <w:rFonts w:hint="default" w:eastAsia="方正书宋_GBK"/>
                <w:lang w:val="en-US" w:eastAsia="zh-CN"/>
              </w:rPr>
            </w:pPr>
            <w:r>
              <w:rPr>
                <w:rFonts w:hint="eastAsia"/>
                <w:lang w:val="en-US" w:eastAsia="zh-CN"/>
              </w:rPr>
              <w:t>0.1</w:t>
            </w:r>
          </w:p>
        </w:tc>
        <w:tc>
          <w:tcPr>
            <w:tcW w:w="924"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0.1</w:t>
            </w: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0.1</w:t>
            </w:r>
          </w:p>
        </w:tc>
      </w:tr>
    </w:tbl>
    <w:p>
      <w:pPr>
        <w:spacing w:before="0" w:after="0" w:line="500" w:lineRule="exact"/>
        <w:ind w:firstLine="420"/>
        <w:jc w:val="left"/>
        <w:outlineLvl w:val="9"/>
      </w:pPr>
      <w:r>
        <w:rPr>
          <w:rFonts w:ascii="方正书宋_GBK" w:hAnsi="方正书宋_GBK" w:eastAsia="方正书宋_GBK" w:cs="方正书宋_GBK"/>
          <w:color w:val="000000"/>
          <w:sz w:val="21"/>
        </w:rPr>
        <w:t>注：同一采购目录序号的物品，其单价会因配置规格不同而变动，均符合资产配置标准。涉密采购事项按照相关规定执行。</w:t>
      </w:r>
    </w:p>
    <w:p>
      <w:pPr>
        <w:spacing w:before="0" w:after="0" w:line="240" w:lineRule="auto"/>
        <w:ind w:firstLine="420"/>
        <w:jc w:val="left"/>
        <w:outlineLvl w:val="9"/>
        <w:rPr>
          <w:rFonts w:hint="eastAsia" w:ascii="方正仿宋_GBK" w:hAnsi="方正仿宋_GBK" w:eastAsia="方正仿宋_GBK" w:cs="方正仿宋_GBK"/>
          <w:color w:val="000000"/>
        </w:rPr>
      </w:pPr>
      <w:r>
        <w:rPr>
          <w:rFonts w:ascii="方正书宋_GBK" w:hAnsi="方正书宋_GBK" w:eastAsia="方正书宋_GBK" w:cs="方正书宋_GBK"/>
          <w:color w:val="000000"/>
          <w:sz w:val="21"/>
        </w:rPr>
        <w:t>注：无政府采购预算，空表列示。</w:t>
      </w:r>
      <w:bookmarkEnd w:id="4"/>
    </w:p>
    <w:p>
      <w:pPr>
        <w:spacing w:line="500" w:lineRule="exact"/>
        <w:ind w:firstLine="420"/>
        <w:rPr>
          <w:rFonts w:ascii="Times New Roman" w:hAnsi="Times New Roman" w:eastAsia="黑体" w:cs="Times New Roman"/>
          <w:sz w:val="32"/>
          <w:szCs w:val="32"/>
        </w:rPr>
      </w:pPr>
      <w:r>
        <w:rPr>
          <w:rFonts w:ascii="Times New Roman" w:hAnsi="Times New Roman" w:eastAsia="黑体" w:cs="Times New Roman"/>
          <w:sz w:val="32"/>
          <w:szCs w:val="32"/>
        </w:rPr>
        <w:t>七、国有资产信息</w:t>
      </w:r>
    </w:p>
    <w:p>
      <w:pPr>
        <w:spacing w:line="584" w:lineRule="exact"/>
        <w:ind w:firstLine="640"/>
        <w:rPr>
          <w:rFonts w:ascii="Times New Roman" w:hAnsi="Times New Roman" w:eastAsia="仿宋_GB2312" w:cs="Times New Roman"/>
          <w:sz w:val="32"/>
          <w:szCs w:val="32"/>
        </w:rPr>
      </w:pPr>
      <w:r>
        <w:rPr>
          <w:rFonts w:ascii="Times New Roman" w:hAnsi="Times New Roman" w:eastAsia="仿宋_GB2312" w:cs="Times New Roman"/>
          <w:sz w:val="32"/>
          <w:szCs w:val="32"/>
        </w:rPr>
        <w:t>廊坊市</w:t>
      </w:r>
      <w:r>
        <w:rPr>
          <w:rFonts w:hint="eastAsia" w:ascii="Times New Roman" w:hAnsi="Times New Roman" w:eastAsia="仿宋_GB2312" w:cs="Times New Roman"/>
          <w:sz w:val="32"/>
          <w:szCs w:val="32"/>
          <w:lang w:eastAsia="zh-CN"/>
        </w:rPr>
        <w:t>农林科学院本级</w:t>
      </w:r>
      <w:r>
        <w:rPr>
          <w:rFonts w:ascii="Times New Roman" w:hAnsi="Times New Roman" w:eastAsia="仿宋_GB2312" w:cs="Times New Roman"/>
          <w:sz w:val="32"/>
          <w:szCs w:val="32"/>
        </w:rPr>
        <w:t>上年末固定资产金额为</w:t>
      </w:r>
      <w:r>
        <w:rPr>
          <w:rFonts w:hint="eastAsia" w:ascii="Times New Roman" w:hAnsi="Times New Roman" w:eastAsia="仿宋_GB2312" w:cs="Times New Roman"/>
          <w:sz w:val="32"/>
          <w:szCs w:val="32"/>
          <w:lang w:val="en-US" w:eastAsia="zh-CN"/>
        </w:rPr>
        <w:t>5651.35</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（详见下表）</w:t>
      </w:r>
      <w:r>
        <w:rPr>
          <w:rFonts w:ascii="Times New Roman" w:hAnsi="Times New Roman" w:eastAsia="仿宋_GB2312" w:cs="Times New Roman"/>
          <w:sz w:val="32"/>
          <w:szCs w:val="32"/>
        </w:rPr>
        <w:t>，本年度我部门拟购置固定资产</w:t>
      </w:r>
      <w:r>
        <w:rPr>
          <w:rFonts w:hint="eastAsia" w:ascii="Times New Roman" w:hAnsi="Times New Roman" w:eastAsia="仿宋_GB2312" w:cs="Times New Roman"/>
          <w:sz w:val="32"/>
          <w:szCs w:val="32"/>
        </w:rPr>
        <w:t>总额</w:t>
      </w:r>
      <w:r>
        <w:rPr>
          <w:rFonts w:hint="eastAsia" w:ascii="Times New Roman" w:hAnsi="Times New Roman" w:eastAsia="仿宋_GB2312" w:cs="Times New Roman"/>
          <w:sz w:val="32"/>
          <w:szCs w:val="32"/>
          <w:lang w:val="en-US" w:eastAsia="zh-CN"/>
        </w:rPr>
        <w:t>9.5</w:t>
      </w:r>
      <w:r>
        <w:rPr>
          <w:rFonts w:hint="eastAsia" w:ascii="Times New Roman" w:hAnsi="Times New Roman" w:eastAsia="仿宋_GB2312" w:cs="Times New Roman"/>
          <w:sz w:val="32"/>
          <w:szCs w:val="32"/>
        </w:rPr>
        <w:t>万元，</w:t>
      </w:r>
      <w:r>
        <w:rPr>
          <w:rFonts w:hint="eastAsia" w:ascii="Times New Roman" w:hAnsi="Times New Roman" w:eastAsia="仿宋_GB2312" w:cs="Times New Roman"/>
          <w:sz w:val="32"/>
          <w:szCs w:val="32"/>
          <w:lang w:eastAsia="zh-CN"/>
        </w:rPr>
        <w:t>主要为笔记本电脑、空调、文件柜等，</w:t>
      </w:r>
      <w:r>
        <w:rPr>
          <w:rFonts w:ascii="Times New Roman" w:hAnsi="Times New Roman" w:eastAsia="仿宋_GB2312" w:cs="Times New Roman"/>
          <w:sz w:val="32"/>
          <w:szCs w:val="32"/>
        </w:rPr>
        <w:t>详见</w:t>
      </w:r>
      <w:r>
        <w:rPr>
          <w:rFonts w:hint="eastAsia" w:ascii="Times New Roman" w:hAnsi="Times New Roman" w:eastAsia="仿宋_GB2312" w:cs="Times New Roman"/>
          <w:sz w:val="32"/>
          <w:szCs w:val="32"/>
        </w:rPr>
        <w:t>政府采购</w:t>
      </w:r>
      <w:r>
        <w:rPr>
          <w:rFonts w:ascii="Times New Roman" w:hAnsi="Times New Roman" w:eastAsia="仿宋_GB2312" w:cs="Times New Roman"/>
          <w:sz w:val="32"/>
          <w:szCs w:val="32"/>
        </w:rPr>
        <w:t>预算表。</w:t>
      </w:r>
    </w:p>
    <w:tbl>
      <w:tblPr>
        <w:tblStyle w:val="11"/>
        <w:tblpPr w:leftFromText="180" w:rightFromText="180" w:vertAnchor="text" w:horzAnchor="page" w:tblpXSpec="center" w:tblpY="307"/>
        <w:tblOverlap w:val="never"/>
        <w:tblW w:w="9900" w:type="dxa"/>
        <w:jc w:val="center"/>
        <w:tblLayout w:type="fixed"/>
        <w:tblCellMar>
          <w:top w:w="0" w:type="dxa"/>
          <w:left w:w="108" w:type="dxa"/>
          <w:bottom w:w="0" w:type="dxa"/>
          <w:right w:w="108" w:type="dxa"/>
        </w:tblCellMar>
      </w:tblPr>
      <w:tblGrid>
        <w:gridCol w:w="3100"/>
        <w:gridCol w:w="3168"/>
        <w:gridCol w:w="3632"/>
      </w:tblGrid>
      <w:tr>
        <w:tblPrEx>
          <w:tblCellMar>
            <w:top w:w="0" w:type="dxa"/>
            <w:left w:w="108" w:type="dxa"/>
            <w:bottom w:w="0" w:type="dxa"/>
            <w:right w:w="108" w:type="dxa"/>
          </w:tblCellMar>
        </w:tblPrEx>
        <w:trPr>
          <w:trHeight w:val="705" w:hRule="atLeast"/>
          <w:jc w:val="center"/>
        </w:trPr>
        <w:tc>
          <w:tcPr>
            <w:tcW w:w="9900" w:type="dxa"/>
            <w:gridSpan w:val="3"/>
            <w:tcBorders>
              <w:top w:val="nil"/>
              <w:left w:val="nil"/>
              <w:bottom w:val="nil"/>
              <w:right w:val="nil"/>
            </w:tcBorders>
            <w:shd w:val="clear" w:color="auto" w:fill="auto"/>
            <w:noWrap/>
            <w:vAlign w:val="center"/>
          </w:tcPr>
          <w:p>
            <w:pPr>
              <w:widowControl/>
              <w:spacing w:line="584" w:lineRule="exact"/>
              <w:jc w:val="center"/>
              <w:rPr>
                <w:rFonts w:ascii="Times New Roman" w:hAnsi="Times New Roman" w:eastAsia="仿宋_GB2312" w:cs="Times New Roman"/>
                <w:b/>
                <w:bCs/>
                <w:kern w:val="0"/>
                <w:sz w:val="32"/>
                <w:szCs w:val="32"/>
              </w:rPr>
            </w:pPr>
            <w:r>
              <w:rPr>
                <w:rFonts w:ascii="Times New Roman" w:hAnsi="Times New Roman" w:eastAsia="仿宋_GB2312" w:cs="Times New Roman"/>
                <w:b/>
                <w:bCs/>
                <w:kern w:val="0"/>
                <w:sz w:val="32"/>
                <w:szCs w:val="32"/>
              </w:rPr>
              <w:t>廊坊市市直部门固定资产占用情况表</w:t>
            </w:r>
          </w:p>
        </w:tc>
      </w:tr>
      <w:tr>
        <w:tblPrEx>
          <w:tblCellMar>
            <w:top w:w="0" w:type="dxa"/>
            <w:left w:w="108" w:type="dxa"/>
            <w:bottom w:w="0" w:type="dxa"/>
            <w:right w:w="108" w:type="dxa"/>
          </w:tblCellMar>
        </w:tblPrEx>
        <w:trPr>
          <w:trHeight w:val="510" w:hRule="atLeast"/>
          <w:jc w:val="center"/>
        </w:trPr>
        <w:tc>
          <w:tcPr>
            <w:tcW w:w="6268" w:type="dxa"/>
            <w:gridSpan w:val="2"/>
            <w:tcBorders>
              <w:top w:val="nil"/>
              <w:left w:val="nil"/>
              <w:bottom w:val="nil"/>
              <w:right w:val="nil"/>
            </w:tcBorders>
            <w:shd w:val="clear" w:color="auto" w:fill="auto"/>
            <w:noWrap/>
            <w:vAlign w:val="center"/>
          </w:tcPr>
          <w:p>
            <w:pPr>
              <w:widowControl/>
              <w:spacing w:line="584" w:lineRule="exact"/>
              <w:jc w:val="left"/>
              <w:rPr>
                <w:rFonts w:hint="eastAsia" w:ascii="Times New Roman" w:hAnsi="Times New Roman" w:eastAsia="仿宋_GB2312" w:cs="Times New Roman"/>
                <w:kern w:val="0"/>
                <w:sz w:val="22"/>
                <w:lang w:eastAsia="zh-CN"/>
              </w:rPr>
            </w:pPr>
            <w:r>
              <w:rPr>
                <w:rFonts w:ascii="Times New Roman" w:hAnsi="Times New Roman" w:eastAsia="仿宋_GB2312" w:cs="Times New Roman"/>
                <w:kern w:val="0"/>
                <w:sz w:val="22"/>
              </w:rPr>
              <w:t>编制部门：廊坊市</w:t>
            </w:r>
            <w:r>
              <w:rPr>
                <w:rFonts w:hint="eastAsia" w:ascii="Times New Roman" w:hAnsi="Times New Roman" w:eastAsia="仿宋_GB2312" w:cs="Times New Roman"/>
                <w:kern w:val="0"/>
                <w:sz w:val="22"/>
                <w:lang w:eastAsia="zh-CN"/>
              </w:rPr>
              <w:t>农林科学院</w:t>
            </w:r>
          </w:p>
        </w:tc>
        <w:tc>
          <w:tcPr>
            <w:tcW w:w="3632" w:type="dxa"/>
            <w:tcBorders>
              <w:top w:val="nil"/>
              <w:left w:val="nil"/>
              <w:bottom w:val="nil"/>
              <w:right w:val="nil"/>
            </w:tcBorders>
            <w:shd w:val="clear" w:color="auto" w:fill="auto"/>
            <w:noWrap/>
            <w:vAlign w:val="center"/>
          </w:tcPr>
          <w:p>
            <w:pPr>
              <w:widowControl/>
              <w:spacing w:line="584"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截止时间：20</w:t>
            </w:r>
            <w:r>
              <w:rPr>
                <w:rFonts w:hint="eastAsia" w:ascii="Times New Roman" w:hAnsi="Times New Roman" w:eastAsia="仿宋_GB2312" w:cs="Times New Roman"/>
                <w:kern w:val="0"/>
                <w:sz w:val="22"/>
              </w:rPr>
              <w:t>2</w:t>
            </w:r>
            <w:r>
              <w:rPr>
                <w:rFonts w:hint="eastAsia" w:ascii="Times New Roman" w:hAnsi="Times New Roman" w:eastAsia="仿宋_GB2312" w:cs="Times New Roman"/>
                <w:kern w:val="0"/>
                <w:sz w:val="22"/>
                <w:lang w:val="en-US" w:eastAsia="zh-CN"/>
              </w:rPr>
              <w:t>2</w:t>
            </w:r>
            <w:r>
              <w:rPr>
                <w:rFonts w:ascii="Times New Roman" w:hAnsi="Times New Roman" w:eastAsia="仿宋_GB2312" w:cs="Times New Roman"/>
                <w:kern w:val="0"/>
                <w:sz w:val="22"/>
              </w:rPr>
              <w:t xml:space="preserve">年12月31日  </w:t>
            </w:r>
          </w:p>
        </w:tc>
      </w:tr>
      <w:tr>
        <w:tblPrEx>
          <w:tblCellMar>
            <w:top w:w="0" w:type="dxa"/>
            <w:left w:w="108" w:type="dxa"/>
            <w:bottom w:w="0" w:type="dxa"/>
            <w:right w:w="108" w:type="dxa"/>
          </w:tblCellMar>
        </w:tblPrEx>
        <w:trPr>
          <w:trHeight w:val="567" w:hRule="exact"/>
          <w:jc w:val="center"/>
        </w:trPr>
        <w:tc>
          <w:tcPr>
            <w:tcW w:w="31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b/>
                <w:bCs/>
                <w:kern w:val="0"/>
                <w:sz w:val="22"/>
              </w:rPr>
            </w:pPr>
            <w:r>
              <w:rPr>
                <w:rFonts w:ascii="Times New Roman" w:hAnsi="Times New Roman" w:eastAsia="仿宋_GB2312" w:cs="Times New Roman"/>
                <w:b/>
                <w:bCs/>
                <w:kern w:val="0"/>
                <w:sz w:val="22"/>
              </w:rPr>
              <w:t>项   目</w:t>
            </w:r>
          </w:p>
        </w:tc>
        <w:tc>
          <w:tcPr>
            <w:tcW w:w="3168" w:type="dxa"/>
            <w:tcBorders>
              <w:top w:val="single" w:color="auto" w:sz="4" w:space="0"/>
              <w:left w:val="nil"/>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b/>
                <w:bCs/>
                <w:kern w:val="0"/>
                <w:sz w:val="22"/>
              </w:rPr>
            </w:pPr>
            <w:r>
              <w:rPr>
                <w:rFonts w:ascii="Times New Roman" w:hAnsi="Times New Roman" w:eastAsia="仿宋_GB2312" w:cs="Times New Roman"/>
                <w:b/>
                <w:bCs/>
                <w:kern w:val="0"/>
                <w:sz w:val="22"/>
              </w:rPr>
              <w:t>数量</w:t>
            </w:r>
          </w:p>
        </w:tc>
        <w:tc>
          <w:tcPr>
            <w:tcW w:w="3632" w:type="dxa"/>
            <w:tcBorders>
              <w:top w:val="single" w:color="auto" w:sz="4" w:space="0"/>
              <w:left w:val="nil"/>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b/>
                <w:bCs/>
                <w:kern w:val="0"/>
                <w:sz w:val="22"/>
              </w:rPr>
            </w:pPr>
            <w:r>
              <w:rPr>
                <w:rFonts w:ascii="Times New Roman" w:hAnsi="Times New Roman" w:eastAsia="仿宋_GB2312" w:cs="Times New Roman"/>
                <w:b/>
                <w:bCs/>
                <w:kern w:val="0"/>
                <w:sz w:val="22"/>
              </w:rPr>
              <w:t>价值（金额单位：万元）</w:t>
            </w:r>
          </w:p>
        </w:tc>
      </w:tr>
      <w:tr>
        <w:tblPrEx>
          <w:tblCellMar>
            <w:top w:w="0" w:type="dxa"/>
            <w:left w:w="108" w:type="dxa"/>
            <w:bottom w:w="0" w:type="dxa"/>
            <w:right w:w="108" w:type="dxa"/>
          </w:tblCellMar>
        </w:tblPrEx>
        <w:trPr>
          <w:trHeight w:val="567" w:hRule="exact"/>
          <w:jc w:val="center"/>
        </w:trPr>
        <w:tc>
          <w:tcPr>
            <w:tcW w:w="3100" w:type="dxa"/>
            <w:tcBorders>
              <w:top w:val="nil"/>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资产总额</w:t>
            </w:r>
          </w:p>
        </w:tc>
        <w:tc>
          <w:tcPr>
            <w:tcW w:w="3168"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ascii="Times New Roman" w:hAnsi="Times New Roman" w:eastAsia="仿宋_GB2312" w:cs="Times New Roman"/>
                <w:sz w:val="22"/>
              </w:rPr>
            </w:pPr>
            <w:r>
              <w:rPr>
                <w:rFonts w:ascii="Times New Roman" w:hAnsi="Times New Roman" w:eastAsia="仿宋_GB2312" w:cs="Times New Roman"/>
                <w:sz w:val="22"/>
              </w:rPr>
              <w:t>——</w:t>
            </w:r>
          </w:p>
        </w:tc>
        <w:tc>
          <w:tcPr>
            <w:tcW w:w="3632"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5651.35</w:t>
            </w:r>
          </w:p>
        </w:tc>
      </w:tr>
      <w:tr>
        <w:tblPrEx>
          <w:tblCellMar>
            <w:top w:w="0" w:type="dxa"/>
            <w:left w:w="108" w:type="dxa"/>
            <w:bottom w:w="0" w:type="dxa"/>
            <w:right w:w="108" w:type="dxa"/>
          </w:tblCellMar>
        </w:tblPrEx>
        <w:trPr>
          <w:trHeight w:val="567" w:hRule="exact"/>
          <w:jc w:val="center"/>
        </w:trPr>
        <w:tc>
          <w:tcPr>
            <w:tcW w:w="3100" w:type="dxa"/>
            <w:tcBorders>
              <w:top w:val="nil"/>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1、房屋（平方米）</w:t>
            </w:r>
          </w:p>
        </w:tc>
        <w:tc>
          <w:tcPr>
            <w:tcW w:w="3168"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8776.07</w:t>
            </w:r>
          </w:p>
        </w:tc>
        <w:tc>
          <w:tcPr>
            <w:tcW w:w="3632"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2787.61</w:t>
            </w:r>
          </w:p>
        </w:tc>
      </w:tr>
      <w:tr>
        <w:tblPrEx>
          <w:tblCellMar>
            <w:top w:w="0" w:type="dxa"/>
            <w:left w:w="108" w:type="dxa"/>
            <w:bottom w:w="0" w:type="dxa"/>
            <w:right w:w="108" w:type="dxa"/>
          </w:tblCellMar>
        </w:tblPrEx>
        <w:trPr>
          <w:trHeight w:val="567" w:hRule="exact"/>
          <w:jc w:val="center"/>
        </w:trPr>
        <w:tc>
          <w:tcPr>
            <w:tcW w:w="3100" w:type="dxa"/>
            <w:tcBorders>
              <w:top w:val="nil"/>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其中：办公用房（平方米）</w:t>
            </w:r>
          </w:p>
        </w:tc>
        <w:tc>
          <w:tcPr>
            <w:tcW w:w="3168"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4600</w:t>
            </w:r>
          </w:p>
        </w:tc>
        <w:tc>
          <w:tcPr>
            <w:tcW w:w="3632"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1600</w:t>
            </w:r>
          </w:p>
        </w:tc>
      </w:tr>
      <w:tr>
        <w:tblPrEx>
          <w:tblCellMar>
            <w:top w:w="0" w:type="dxa"/>
            <w:left w:w="108" w:type="dxa"/>
            <w:bottom w:w="0" w:type="dxa"/>
            <w:right w:w="108" w:type="dxa"/>
          </w:tblCellMar>
        </w:tblPrEx>
        <w:trPr>
          <w:trHeight w:val="567" w:hRule="exact"/>
          <w:jc w:val="center"/>
        </w:trPr>
        <w:tc>
          <w:tcPr>
            <w:tcW w:w="3100" w:type="dxa"/>
            <w:tcBorders>
              <w:top w:val="nil"/>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2、车辆（台、辆）</w:t>
            </w:r>
          </w:p>
        </w:tc>
        <w:tc>
          <w:tcPr>
            <w:tcW w:w="3168"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eastAsia"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4</w:t>
            </w:r>
          </w:p>
        </w:tc>
        <w:tc>
          <w:tcPr>
            <w:tcW w:w="3632"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83.97</w:t>
            </w:r>
          </w:p>
        </w:tc>
      </w:tr>
      <w:tr>
        <w:tblPrEx>
          <w:tblCellMar>
            <w:top w:w="0" w:type="dxa"/>
            <w:left w:w="108" w:type="dxa"/>
            <w:bottom w:w="0" w:type="dxa"/>
            <w:right w:w="108" w:type="dxa"/>
          </w:tblCellMar>
        </w:tblPrEx>
        <w:trPr>
          <w:trHeight w:val="567" w:hRule="exact"/>
          <w:jc w:val="center"/>
        </w:trPr>
        <w:tc>
          <w:tcPr>
            <w:tcW w:w="3100" w:type="dxa"/>
            <w:tcBorders>
              <w:top w:val="nil"/>
              <w:left w:val="single" w:color="auto" w:sz="4" w:space="0"/>
              <w:bottom w:val="single" w:color="auto" w:sz="4" w:space="0"/>
              <w:right w:val="single" w:color="auto" w:sz="4" w:space="0"/>
            </w:tcBorders>
            <w:shd w:val="clear" w:color="auto" w:fill="auto"/>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3、单价在20万元以上的设备</w:t>
            </w:r>
          </w:p>
        </w:tc>
        <w:tc>
          <w:tcPr>
            <w:tcW w:w="3168"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12</w:t>
            </w:r>
          </w:p>
        </w:tc>
        <w:tc>
          <w:tcPr>
            <w:tcW w:w="3632"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592.6</w:t>
            </w:r>
          </w:p>
        </w:tc>
      </w:tr>
      <w:tr>
        <w:tblPrEx>
          <w:tblCellMar>
            <w:top w:w="0" w:type="dxa"/>
            <w:left w:w="108" w:type="dxa"/>
            <w:bottom w:w="0" w:type="dxa"/>
            <w:right w:w="108" w:type="dxa"/>
          </w:tblCellMar>
        </w:tblPrEx>
        <w:trPr>
          <w:trHeight w:val="567" w:hRule="exact"/>
          <w:jc w:val="center"/>
        </w:trPr>
        <w:tc>
          <w:tcPr>
            <w:tcW w:w="3100" w:type="dxa"/>
            <w:tcBorders>
              <w:top w:val="nil"/>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4、其他固定资产</w:t>
            </w:r>
          </w:p>
        </w:tc>
        <w:tc>
          <w:tcPr>
            <w:tcW w:w="3168"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ascii="Times New Roman" w:hAnsi="Times New Roman" w:eastAsia="仿宋_GB2312" w:cs="Times New Roman"/>
                <w:sz w:val="22"/>
              </w:rPr>
            </w:pPr>
          </w:p>
        </w:tc>
        <w:tc>
          <w:tcPr>
            <w:tcW w:w="3632"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2187.17</w:t>
            </w:r>
          </w:p>
        </w:tc>
      </w:tr>
    </w:tbl>
    <w:p>
      <w:pPr>
        <w:spacing w:line="584" w:lineRule="exact"/>
        <w:ind w:firstLine="640"/>
        <w:rPr>
          <w:rFonts w:ascii="Times New Roman" w:hAnsi="Times New Roman" w:eastAsia="仿宋_GB2312" w:cs="Times New Roman"/>
          <w:sz w:val="32"/>
          <w:szCs w:val="32"/>
        </w:rPr>
      </w:pPr>
    </w:p>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p>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p>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p>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p>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p>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p>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p>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p>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p>
    <w:p>
      <w:pPr>
        <w:pStyle w:val="2"/>
      </w:pPr>
      <w:bookmarkStart w:id="5" w:name="_GoBack"/>
      <w:bookmarkEnd w:id="5"/>
    </w:p>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八、名词解释</w:t>
      </w:r>
    </w:p>
    <w:p>
      <w:pPr>
        <w:tabs>
          <w:tab w:val="left" w:pos="11490"/>
        </w:tabs>
        <w:spacing w:line="584"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1、一般公共预算拨款收入：</w:t>
      </w:r>
      <w:r>
        <w:rPr>
          <w:rFonts w:ascii="Times New Roman" w:hAnsi="Times New Roman" w:eastAsia="仿宋_GB2312" w:cs="Times New Roman"/>
          <w:sz w:val="32"/>
          <w:szCs w:val="32"/>
        </w:rPr>
        <w:t>指</w:t>
      </w:r>
      <w:r>
        <w:rPr>
          <w:rFonts w:hint="eastAsia" w:ascii="Times New Roman" w:hAnsi="Times New Roman" w:eastAsia="仿宋_GB2312" w:cs="Times New Roman"/>
          <w:sz w:val="32"/>
          <w:szCs w:val="32"/>
          <w:lang w:eastAsia="zh-CN"/>
        </w:rPr>
        <w:t>市</w:t>
      </w:r>
      <w:r>
        <w:rPr>
          <w:rFonts w:ascii="Times New Roman" w:hAnsi="Times New Roman" w:eastAsia="仿宋_GB2312" w:cs="Times New Roman"/>
          <w:sz w:val="32"/>
          <w:szCs w:val="32"/>
        </w:rPr>
        <w:t>级财政当年拨付的资金。</w:t>
      </w:r>
    </w:p>
    <w:p>
      <w:pPr>
        <w:tabs>
          <w:tab w:val="left" w:pos="11490"/>
        </w:tabs>
        <w:spacing w:line="584"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2、事业收入：</w:t>
      </w:r>
      <w:r>
        <w:rPr>
          <w:rFonts w:ascii="Times New Roman" w:hAnsi="Times New Roman" w:eastAsia="仿宋_GB2312" w:cs="Times New Roman"/>
          <w:sz w:val="32"/>
          <w:szCs w:val="32"/>
        </w:rPr>
        <w:t>指事业单位开展专业业务活动及辅助活动所取得的收入。</w:t>
      </w:r>
    </w:p>
    <w:p>
      <w:pPr>
        <w:tabs>
          <w:tab w:val="left" w:pos="11490"/>
        </w:tabs>
        <w:spacing w:line="584" w:lineRule="exact"/>
        <w:ind w:firstLine="642" w:firstLineChars="200"/>
        <w:rPr>
          <w:rFonts w:ascii="Times New Roman" w:hAnsi="Times New Roman" w:eastAsia="仿宋_GB2312" w:cs="Times New Roman"/>
          <w:b/>
          <w:sz w:val="32"/>
          <w:szCs w:val="32"/>
        </w:rPr>
      </w:pPr>
      <w:r>
        <w:rPr>
          <w:rFonts w:ascii="Times New Roman" w:hAnsi="Times New Roman" w:eastAsia="仿宋_GB2312" w:cs="Times New Roman"/>
          <w:b/>
          <w:sz w:val="32"/>
          <w:szCs w:val="32"/>
        </w:rPr>
        <w:t>3、其他收入：</w:t>
      </w:r>
      <w:r>
        <w:rPr>
          <w:rFonts w:ascii="Times New Roman" w:hAnsi="Times New Roman" w:eastAsia="仿宋_GB2312" w:cs="Times New Roman"/>
          <w:sz w:val="32"/>
          <w:szCs w:val="32"/>
        </w:rPr>
        <w:t>指除“一般公共预算拨款收入”、“事业收入”等以外的收入。主要是按规定动用的租房收入、存款利息收入等。</w:t>
      </w:r>
    </w:p>
    <w:p>
      <w:pPr>
        <w:tabs>
          <w:tab w:val="left" w:pos="11490"/>
        </w:tabs>
        <w:spacing w:line="584"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4、基本支出：</w:t>
      </w:r>
      <w:r>
        <w:rPr>
          <w:rFonts w:ascii="Times New Roman" w:hAnsi="Times New Roman" w:eastAsia="仿宋_GB2312" w:cs="Times New Roman"/>
          <w:sz w:val="32"/>
          <w:szCs w:val="32"/>
        </w:rPr>
        <w:t>指为保障机构正常运转、完成日常工作任务而发生的人员支出和公用支出。</w:t>
      </w:r>
    </w:p>
    <w:p>
      <w:pPr>
        <w:tabs>
          <w:tab w:val="left" w:pos="11490"/>
        </w:tabs>
        <w:spacing w:line="584"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5、项目支出：</w:t>
      </w:r>
      <w:r>
        <w:rPr>
          <w:rFonts w:ascii="Times New Roman" w:hAnsi="Times New Roman" w:eastAsia="仿宋_GB2312" w:cs="Times New Roman"/>
          <w:sz w:val="32"/>
          <w:szCs w:val="32"/>
        </w:rPr>
        <w:t>指在基本支出之外为完成特定行政任务和事业发展目标所发生的支出。</w:t>
      </w:r>
    </w:p>
    <w:p>
      <w:pPr>
        <w:tabs>
          <w:tab w:val="left" w:pos="11490"/>
        </w:tabs>
        <w:spacing w:line="584"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6、上缴上级支出：</w:t>
      </w:r>
      <w:r>
        <w:rPr>
          <w:rFonts w:ascii="Times New Roman" w:hAnsi="Times New Roman" w:eastAsia="仿宋_GB2312" w:cs="Times New Roman"/>
          <w:sz w:val="32"/>
          <w:szCs w:val="32"/>
        </w:rPr>
        <w:t>指下级单位上缴上级的支出。</w:t>
      </w:r>
    </w:p>
    <w:p>
      <w:pPr>
        <w:tabs>
          <w:tab w:val="left" w:pos="11490"/>
        </w:tabs>
        <w:spacing w:line="584"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7、“三公”经费：</w:t>
      </w:r>
      <w:r>
        <w:rPr>
          <w:rFonts w:ascii="Times New Roman" w:hAnsi="Times New Roman" w:eastAsia="仿宋_GB2312" w:cs="Times New Roman"/>
          <w:sz w:val="32"/>
          <w:szCs w:val="32"/>
        </w:rPr>
        <w:t>纳入</w:t>
      </w:r>
      <w:r>
        <w:rPr>
          <w:rFonts w:hint="eastAsia" w:ascii="Times New Roman" w:hAnsi="Times New Roman" w:eastAsia="仿宋_GB2312" w:cs="Times New Roman"/>
          <w:sz w:val="32"/>
          <w:szCs w:val="32"/>
          <w:lang w:eastAsia="zh-CN"/>
        </w:rPr>
        <w:t>市</w:t>
      </w:r>
      <w:r>
        <w:rPr>
          <w:rFonts w:ascii="Times New Roman" w:hAnsi="Times New Roman" w:eastAsia="仿宋_GB2312" w:cs="Times New Roman"/>
          <w:sz w:val="32"/>
          <w:szCs w:val="32"/>
        </w:rPr>
        <w:t>级财政预算管理的“三公”经费，是指</w:t>
      </w:r>
      <w:r>
        <w:rPr>
          <w:rFonts w:hint="eastAsia" w:ascii="Times New Roman" w:hAnsi="Times New Roman" w:eastAsia="仿宋_GB2312" w:cs="Times New Roman"/>
          <w:sz w:val="32"/>
          <w:szCs w:val="32"/>
          <w:lang w:eastAsia="zh-CN"/>
        </w:rPr>
        <w:t>市</w:t>
      </w:r>
      <w:r>
        <w:rPr>
          <w:rFonts w:ascii="Times New Roman" w:hAnsi="Times New Roman" w:eastAsia="仿宋_GB2312" w:cs="Times New Roman"/>
          <w:sz w:val="32"/>
          <w:szCs w:val="32"/>
        </w:rPr>
        <w:t>级部门用财政拨款安排的因公出国（境）费、公务用车购置及运维费和公务接待费。其中，因公出国（境）费反映单位公务出国（境）的住宿费、旅费、伙食补助费、杂费、培训费等支出；公务用车购置及运维费反映单位公务用车购置费及租用费、燃料费、维修费、过路过桥费、保险费、安全奖励费用等支出；公务接待费反映单位按规定开支的各类公务接待（含外宾接待）支出。</w:t>
      </w:r>
    </w:p>
    <w:p>
      <w:pPr>
        <w:tabs>
          <w:tab w:val="left" w:pos="11490"/>
        </w:tabs>
        <w:spacing w:line="584"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8、机关运行费：</w:t>
      </w:r>
      <w:r>
        <w:rPr>
          <w:rFonts w:ascii="Times New Roman" w:hAnsi="Times New Roman" w:eastAsia="仿宋_GB2312" w:cs="Times New Roman"/>
          <w:sz w:val="32"/>
          <w:szCs w:val="32"/>
        </w:rPr>
        <w:t>为保障全部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tabs>
          <w:tab w:val="left" w:pos="11490"/>
        </w:tabs>
        <w:spacing w:line="584"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9、上年结转：</w:t>
      </w:r>
      <w:r>
        <w:rPr>
          <w:rFonts w:ascii="Times New Roman" w:hAnsi="Times New Roman" w:eastAsia="仿宋_GB2312" w:cs="Times New Roman"/>
          <w:sz w:val="32"/>
          <w:szCs w:val="32"/>
        </w:rPr>
        <w:t>指以前年度尚未完成、结转到本年仍按原规定用途继续使用的资金。</w:t>
      </w:r>
    </w:p>
    <w:p>
      <w:pPr>
        <w:tabs>
          <w:tab w:val="left" w:pos="11490"/>
        </w:tabs>
        <w:spacing w:line="584"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10、事业单位经营支出：</w:t>
      </w:r>
      <w:r>
        <w:rPr>
          <w:rFonts w:ascii="Times New Roman" w:hAnsi="Times New Roman" w:eastAsia="仿宋_GB2312" w:cs="Times New Roman"/>
          <w:sz w:val="32"/>
          <w:szCs w:val="32"/>
        </w:rPr>
        <w:t>指事业单位在专业业务活动及其辅助活动之外开展非独立核算经营活动发生的支出。</w:t>
      </w:r>
    </w:p>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九、其他需要说明的事项</w:t>
      </w:r>
    </w:p>
    <w:p>
      <w:pPr>
        <w:spacing w:line="58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我部门无其他需要说明的事项。</w:t>
      </w:r>
    </w:p>
    <w:sectPr>
      <w:footerReference r:id="rId3" w:type="default"/>
      <w:pgSz w:w="16838" w:h="11906" w:orient="landscape"/>
      <w:pgMar w:top="1800" w:right="1440" w:bottom="1800" w:left="144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10" w:usb3="00000000" w:csb0="00040000" w:csb1="00000000"/>
  </w:font>
  <w:font w:name="方正书宋_GBK">
    <w:panose1 w:val="02000000000000000000"/>
    <w:charset w:val="86"/>
    <w:family w:val="roman"/>
    <w:pitch w:val="default"/>
    <w:sig w:usb0="00000001" w:usb1="0800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altName w:val="方正楷体_GBK"/>
    <w:panose1 w:val="00000000000000000000"/>
    <w:charset w:val="86"/>
    <w:family w:val="modern"/>
    <w:pitch w:val="default"/>
    <w:sig w:usb0="00000000" w:usb1="00000000" w:usb2="0000001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方正楷体_GBK"/>
    <w:panose1 w:val="02010609060101010101"/>
    <w:charset w:val="86"/>
    <w:family w:val="auto"/>
    <w:pitch w:val="default"/>
    <w:sig w:usb0="00000000" w:usb1="00000000" w:usb2="00000016" w:usb3="00000000" w:csb0="00040001" w:csb1="00000000"/>
  </w:font>
  <w:font w:name="微软雅黑">
    <w:altName w:val="方正黑体_GBK"/>
    <w:panose1 w:val="020B0503020204020204"/>
    <w:charset w:val="86"/>
    <w:family w:val="swiss"/>
    <w:pitch w:val="default"/>
    <w:sig w:usb0="00000000" w:usb1="00000000" w:usb2="00000016" w:usb3="00000000" w:csb0="0004001F"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hint="eastAsia"/>
      </w:rPr>
      <w:t>-</w:t>
    </w:r>
    <w:r>
      <w:fldChar w:fldCharType="begin"/>
    </w:r>
    <w:r>
      <w:instrText xml:space="preserve">PAGE   \* MERGEFORMAT</w:instrText>
    </w:r>
    <w:r>
      <w:fldChar w:fldCharType="separate"/>
    </w:r>
    <w:r>
      <w:rPr>
        <w:lang w:val="zh-CN"/>
      </w:rPr>
      <w:t>9</w:t>
    </w:r>
    <w:r>
      <w:rPr>
        <w:lang w:val="zh-CN"/>
      </w:rPr>
      <w:fldChar w:fldCharType="end"/>
    </w:r>
    <w:r>
      <w:rPr>
        <w:rFonts w:hint="eastAsia"/>
      </w:rPr>
      <w:t>-</w:t>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FD6F58"/>
    <w:multiLevelType w:val="singleLevel"/>
    <w:tmpl w:val="7DFD6F5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D347CC"/>
    <w:rsid w:val="000230E6"/>
    <w:rsid w:val="0025632D"/>
    <w:rsid w:val="004A54AA"/>
    <w:rsid w:val="00626000"/>
    <w:rsid w:val="00944233"/>
    <w:rsid w:val="00A31F84"/>
    <w:rsid w:val="00B40732"/>
    <w:rsid w:val="00B80935"/>
    <w:rsid w:val="00D347CC"/>
    <w:rsid w:val="01647F95"/>
    <w:rsid w:val="016F701E"/>
    <w:rsid w:val="018D3860"/>
    <w:rsid w:val="01A2548B"/>
    <w:rsid w:val="01AF64FB"/>
    <w:rsid w:val="01DD542C"/>
    <w:rsid w:val="0211152E"/>
    <w:rsid w:val="022E5922"/>
    <w:rsid w:val="023D0579"/>
    <w:rsid w:val="028C7F31"/>
    <w:rsid w:val="02EE19A2"/>
    <w:rsid w:val="03744CF9"/>
    <w:rsid w:val="037A4B37"/>
    <w:rsid w:val="03EC498F"/>
    <w:rsid w:val="04171279"/>
    <w:rsid w:val="041D2408"/>
    <w:rsid w:val="04390D08"/>
    <w:rsid w:val="05907A47"/>
    <w:rsid w:val="06692236"/>
    <w:rsid w:val="075D8B3C"/>
    <w:rsid w:val="077754A8"/>
    <w:rsid w:val="07796647"/>
    <w:rsid w:val="078C7F6B"/>
    <w:rsid w:val="07CE1B65"/>
    <w:rsid w:val="07E438C0"/>
    <w:rsid w:val="08414E14"/>
    <w:rsid w:val="08DF5746"/>
    <w:rsid w:val="09010160"/>
    <w:rsid w:val="09810D5D"/>
    <w:rsid w:val="09E807BD"/>
    <w:rsid w:val="0A385232"/>
    <w:rsid w:val="0AFF489C"/>
    <w:rsid w:val="0B053716"/>
    <w:rsid w:val="0B5471F5"/>
    <w:rsid w:val="0B565184"/>
    <w:rsid w:val="0BCC2147"/>
    <w:rsid w:val="0BD80AD2"/>
    <w:rsid w:val="0C0E07BE"/>
    <w:rsid w:val="0C1F6C1F"/>
    <w:rsid w:val="0C380285"/>
    <w:rsid w:val="0C8B2E6F"/>
    <w:rsid w:val="0CD75A7B"/>
    <w:rsid w:val="0D114D8F"/>
    <w:rsid w:val="0D7D50CE"/>
    <w:rsid w:val="0DD72EFC"/>
    <w:rsid w:val="0E5A703E"/>
    <w:rsid w:val="0E6C6AFA"/>
    <w:rsid w:val="0EF413BD"/>
    <w:rsid w:val="0F3B4D58"/>
    <w:rsid w:val="0F7BF4E0"/>
    <w:rsid w:val="0FFABE6C"/>
    <w:rsid w:val="10027124"/>
    <w:rsid w:val="1031014C"/>
    <w:rsid w:val="10984B96"/>
    <w:rsid w:val="10A55B2F"/>
    <w:rsid w:val="11767B20"/>
    <w:rsid w:val="119F13EB"/>
    <w:rsid w:val="11D967A1"/>
    <w:rsid w:val="121A1A25"/>
    <w:rsid w:val="123D5EED"/>
    <w:rsid w:val="12E75029"/>
    <w:rsid w:val="130A5A12"/>
    <w:rsid w:val="131F489B"/>
    <w:rsid w:val="13515E17"/>
    <w:rsid w:val="139D3074"/>
    <w:rsid w:val="14042F5C"/>
    <w:rsid w:val="147932DF"/>
    <w:rsid w:val="147D9301"/>
    <w:rsid w:val="14C207B8"/>
    <w:rsid w:val="14E4440D"/>
    <w:rsid w:val="15313567"/>
    <w:rsid w:val="15583C30"/>
    <w:rsid w:val="15621543"/>
    <w:rsid w:val="15F10009"/>
    <w:rsid w:val="16403F77"/>
    <w:rsid w:val="165726D2"/>
    <w:rsid w:val="16BF91DA"/>
    <w:rsid w:val="16F70709"/>
    <w:rsid w:val="170F566E"/>
    <w:rsid w:val="174D37DA"/>
    <w:rsid w:val="17AD5E54"/>
    <w:rsid w:val="17ED8B04"/>
    <w:rsid w:val="17FFCB0A"/>
    <w:rsid w:val="18354FC5"/>
    <w:rsid w:val="184417B6"/>
    <w:rsid w:val="184603D8"/>
    <w:rsid w:val="184D4919"/>
    <w:rsid w:val="18717E22"/>
    <w:rsid w:val="188548B6"/>
    <w:rsid w:val="18B6059E"/>
    <w:rsid w:val="18E335AA"/>
    <w:rsid w:val="191A633A"/>
    <w:rsid w:val="19376E62"/>
    <w:rsid w:val="19396C3C"/>
    <w:rsid w:val="19602349"/>
    <w:rsid w:val="19A81D1A"/>
    <w:rsid w:val="19CE0484"/>
    <w:rsid w:val="1A397D2E"/>
    <w:rsid w:val="1A4D2833"/>
    <w:rsid w:val="1A5B44CB"/>
    <w:rsid w:val="1AB17C62"/>
    <w:rsid w:val="1ADB3C59"/>
    <w:rsid w:val="1B0B6576"/>
    <w:rsid w:val="1B5C719A"/>
    <w:rsid w:val="1BDE60FA"/>
    <w:rsid w:val="1C387E3D"/>
    <w:rsid w:val="1CADA4F0"/>
    <w:rsid w:val="1DA54CCC"/>
    <w:rsid w:val="1DA757D7"/>
    <w:rsid w:val="1DCB78E9"/>
    <w:rsid w:val="1E0B770A"/>
    <w:rsid w:val="1E2321DB"/>
    <w:rsid w:val="1E294768"/>
    <w:rsid w:val="1E742DBC"/>
    <w:rsid w:val="1EBE3FFD"/>
    <w:rsid w:val="1EEBF19D"/>
    <w:rsid w:val="1EFF0FEF"/>
    <w:rsid w:val="1F0E7815"/>
    <w:rsid w:val="1F7C53E4"/>
    <w:rsid w:val="1F9FB869"/>
    <w:rsid w:val="1FD575B1"/>
    <w:rsid w:val="1FEB19FC"/>
    <w:rsid w:val="1FFF1C76"/>
    <w:rsid w:val="2023610E"/>
    <w:rsid w:val="20E30817"/>
    <w:rsid w:val="212D2491"/>
    <w:rsid w:val="21396CE9"/>
    <w:rsid w:val="214021AF"/>
    <w:rsid w:val="21490D86"/>
    <w:rsid w:val="220E36AB"/>
    <w:rsid w:val="224A4611"/>
    <w:rsid w:val="22BB2110"/>
    <w:rsid w:val="22BF7271"/>
    <w:rsid w:val="22F6C369"/>
    <w:rsid w:val="23531B51"/>
    <w:rsid w:val="24510E45"/>
    <w:rsid w:val="24A4121D"/>
    <w:rsid w:val="251D7D16"/>
    <w:rsid w:val="258275B3"/>
    <w:rsid w:val="25AA4FDC"/>
    <w:rsid w:val="2647167A"/>
    <w:rsid w:val="264E3470"/>
    <w:rsid w:val="26F47770"/>
    <w:rsid w:val="26F7364B"/>
    <w:rsid w:val="26FEC5EF"/>
    <w:rsid w:val="273E6782"/>
    <w:rsid w:val="2753EAE3"/>
    <w:rsid w:val="27734A2B"/>
    <w:rsid w:val="27945179"/>
    <w:rsid w:val="27B706EA"/>
    <w:rsid w:val="27C3F47E"/>
    <w:rsid w:val="27DEDA5F"/>
    <w:rsid w:val="27FA423B"/>
    <w:rsid w:val="286334F1"/>
    <w:rsid w:val="28B244D0"/>
    <w:rsid w:val="28C10B52"/>
    <w:rsid w:val="297A291F"/>
    <w:rsid w:val="298C5F47"/>
    <w:rsid w:val="29CD2AA0"/>
    <w:rsid w:val="2A194F74"/>
    <w:rsid w:val="2A5F121A"/>
    <w:rsid w:val="2A95707E"/>
    <w:rsid w:val="2ADF40CB"/>
    <w:rsid w:val="2B145551"/>
    <w:rsid w:val="2B5C2D93"/>
    <w:rsid w:val="2C6E7887"/>
    <w:rsid w:val="2C805467"/>
    <w:rsid w:val="2C9E5A15"/>
    <w:rsid w:val="2CA84121"/>
    <w:rsid w:val="2D507544"/>
    <w:rsid w:val="2D6335EB"/>
    <w:rsid w:val="2DA46DF3"/>
    <w:rsid w:val="2DC91B3A"/>
    <w:rsid w:val="2DFE0A61"/>
    <w:rsid w:val="2E227833"/>
    <w:rsid w:val="2E5FBDF5"/>
    <w:rsid w:val="2E7E2C37"/>
    <w:rsid w:val="2ED87AEC"/>
    <w:rsid w:val="2EEA65B0"/>
    <w:rsid w:val="2F3C5F68"/>
    <w:rsid w:val="2F3E2549"/>
    <w:rsid w:val="2F7C07F2"/>
    <w:rsid w:val="2F9E5A09"/>
    <w:rsid w:val="2F9F515C"/>
    <w:rsid w:val="2FD41246"/>
    <w:rsid w:val="2FF6F319"/>
    <w:rsid w:val="304657F9"/>
    <w:rsid w:val="30E04D13"/>
    <w:rsid w:val="317F4E34"/>
    <w:rsid w:val="317FC2A7"/>
    <w:rsid w:val="318410E2"/>
    <w:rsid w:val="318F63BD"/>
    <w:rsid w:val="320A0D46"/>
    <w:rsid w:val="32D67302"/>
    <w:rsid w:val="32FA39D2"/>
    <w:rsid w:val="33C547E4"/>
    <w:rsid w:val="33DA2CC2"/>
    <w:rsid w:val="33EE2DB0"/>
    <w:rsid w:val="33EF9C2F"/>
    <w:rsid w:val="33FFB74D"/>
    <w:rsid w:val="345107C4"/>
    <w:rsid w:val="34D03FCF"/>
    <w:rsid w:val="34EA2853"/>
    <w:rsid w:val="358BD890"/>
    <w:rsid w:val="35B77A16"/>
    <w:rsid w:val="35DF7B6B"/>
    <w:rsid w:val="35FF91D6"/>
    <w:rsid w:val="36EA1A30"/>
    <w:rsid w:val="370E2397"/>
    <w:rsid w:val="37460DD6"/>
    <w:rsid w:val="376D1FE1"/>
    <w:rsid w:val="377D6808"/>
    <w:rsid w:val="377D69D4"/>
    <w:rsid w:val="378544CF"/>
    <w:rsid w:val="37B5FD6F"/>
    <w:rsid w:val="37B776AB"/>
    <w:rsid w:val="37E85325"/>
    <w:rsid w:val="38486E3D"/>
    <w:rsid w:val="39914B13"/>
    <w:rsid w:val="39FD837E"/>
    <w:rsid w:val="3A166CD7"/>
    <w:rsid w:val="3B1A3829"/>
    <w:rsid w:val="3B3F02E1"/>
    <w:rsid w:val="3B4C770F"/>
    <w:rsid w:val="3B5D3CBB"/>
    <w:rsid w:val="3BD70AA4"/>
    <w:rsid w:val="3BDD70A6"/>
    <w:rsid w:val="3BE1C77A"/>
    <w:rsid w:val="3BE23FD7"/>
    <w:rsid w:val="3C2025D5"/>
    <w:rsid w:val="3C6209DD"/>
    <w:rsid w:val="3CCF4733"/>
    <w:rsid w:val="3CE1032B"/>
    <w:rsid w:val="3CF75EE2"/>
    <w:rsid w:val="3CFD21A8"/>
    <w:rsid w:val="3CFEDCF1"/>
    <w:rsid w:val="3D324970"/>
    <w:rsid w:val="3D4F170A"/>
    <w:rsid w:val="3D7FD33C"/>
    <w:rsid w:val="3DB7662B"/>
    <w:rsid w:val="3DBF1E70"/>
    <w:rsid w:val="3DE257B2"/>
    <w:rsid w:val="3DEE64EF"/>
    <w:rsid w:val="3DF7D34E"/>
    <w:rsid w:val="3E000354"/>
    <w:rsid w:val="3E3F37A8"/>
    <w:rsid w:val="3EBB51AF"/>
    <w:rsid w:val="3EBF39B3"/>
    <w:rsid w:val="3EEA5C73"/>
    <w:rsid w:val="3F2F7B51"/>
    <w:rsid w:val="3F5D94DC"/>
    <w:rsid w:val="3F637BAA"/>
    <w:rsid w:val="3F697F41"/>
    <w:rsid w:val="3F7905CA"/>
    <w:rsid w:val="3F7B9397"/>
    <w:rsid w:val="3F9BD484"/>
    <w:rsid w:val="3FAC3BA9"/>
    <w:rsid w:val="3FC766F0"/>
    <w:rsid w:val="3FEBFA30"/>
    <w:rsid w:val="3FF32365"/>
    <w:rsid w:val="402D4F5D"/>
    <w:rsid w:val="406F7140"/>
    <w:rsid w:val="40F4495F"/>
    <w:rsid w:val="413B07A8"/>
    <w:rsid w:val="4183652D"/>
    <w:rsid w:val="41C34BDA"/>
    <w:rsid w:val="42432F4C"/>
    <w:rsid w:val="425E5635"/>
    <w:rsid w:val="427A59FE"/>
    <w:rsid w:val="42A749B0"/>
    <w:rsid w:val="42B94272"/>
    <w:rsid w:val="42D4084C"/>
    <w:rsid w:val="43325996"/>
    <w:rsid w:val="433C2868"/>
    <w:rsid w:val="43436C73"/>
    <w:rsid w:val="43493446"/>
    <w:rsid w:val="43C31E22"/>
    <w:rsid w:val="43D7D7C4"/>
    <w:rsid w:val="43EC3F4B"/>
    <w:rsid w:val="453E5054"/>
    <w:rsid w:val="456B6926"/>
    <w:rsid w:val="45F22A3F"/>
    <w:rsid w:val="46095AC5"/>
    <w:rsid w:val="46552591"/>
    <w:rsid w:val="46CE04A3"/>
    <w:rsid w:val="46E40F57"/>
    <w:rsid w:val="46E6099E"/>
    <w:rsid w:val="46E74BA9"/>
    <w:rsid w:val="46FF2F7A"/>
    <w:rsid w:val="476D264E"/>
    <w:rsid w:val="478512A5"/>
    <w:rsid w:val="47B628BC"/>
    <w:rsid w:val="48F62B11"/>
    <w:rsid w:val="49053618"/>
    <w:rsid w:val="49E23269"/>
    <w:rsid w:val="49F67BAE"/>
    <w:rsid w:val="49F71D54"/>
    <w:rsid w:val="4A52115D"/>
    <w:rsid w:val="4A9411C3"/>
    <w:rsid w:val="4A9EB9CE"/>
    <w:rsid w:val="4ADA5689"/>
    <w:rsid w:val="4AE21E27"/>
    <w:rsid w:val="4B1224D9"/>
    <w:rsid w:val="4B6F6667"/>
    <w:rsid w:val="4BCF68FE"/>
    <w:rsid w:val="4BEF5226"/>
    <w:rsid w:val="4C227D06"/>
    <w:rsid w:val="4C3E30FC"/>
    <w:rsid w:val="4C4343EA"/>
    <w:rsid w:val="4C8805B7"/>
    <w:rsid w:val="4D065536"/>
    <w:rsid w:val="4D155ADE"/>
    <w:rsid w:val="4DAAB4AA"/>
    <w:rsid w:val="4DFED3D2"/>
    <w:rsid w:val="4E1238A9"/>
    <w:rsid w:val="4E582E77"/>
    <w:rsid w:val="4EE00061"/>
    <w:rsid w:val="4F0E0130"/>
    <w:rsid w:val="4F246D20"/>
    <w:rsid w:val="4F67328B"/>
    <w:rsid w:val="4F883A52"/>
    <w:rsid w:val="4F932A8A"/>
    <w:rsid w:val="4FADA683"/>
    <w:rsid w:val="4FC346B2"/>
    <w:rsid w:val="4FC911B2"/>
    <w:rsid w:val="4FF7EA86"/>
    <w:rsid w:val="50222F89"/>
    <w:rsid w:val="502E0ECA"/>
    <w:rsid w:val="503926C3"/>
    <w:rsid w:val="50786490"/>
    <w:rsid w:val="51475453"/>
    <w:rsid w:val="518D5B14"/>
    <w:rsid w:val="51EC43B2"/>
    <w:rsid w:val="51F67F39"/>
    <w:rsid w:val="52D6388A"/>
    <w:rsid w:val="52D84D2B"/>
    <w:rsid w:val="52EC229D"/>
    <w:rsid w:val="52EC27BF"/>
    <w:rsid w:val="53E4510F"/>
    <w:rsid w:val="541E6C2A"/>
    <w:rsid w:val="54B22D4B"/>
    <w:rsid w:val="551E23C7"/>
    <w:rsid w:val="553D356E"/>
    <w:rsid w:val="554A75A6"/>
    <w:rsid w:val="55D237B6"/>
    <w:rsid w:val="55DD95A7"/>
    <w:rsid w:val="561E95E8"/>
    <w:rsid w:val="562A3E70"/>
    <w:rsid w:val="5636173A"/>
    <w:rsid w:val="56770032"/>
    <w:rsid w:val="56F55BFA"/>
    <w:rsid w:val="570F3C9C"/>
    <w:rsid w:val="573A4D99"/>
    <w:rsid w:val="5757311B"/>
    <w:rsid w:val="579405BA"/>
    <w:rsid w:val="57CB35C7"/>
    <w:rsid w:val="57E41E21"/>
    <w:rsid w:val="57EFB1C5"/>
    <w:rsid w:val="58641EB1"/>
    <w:rsid w:val="58AA06B4"/>
    <w:rsid w:val="58BF480C"/>
    <w:rsid w:val="59533E12"/>
    <w:rsid w:val="59585F18"/>
    <w:rsid w:val="59F41783"/>
    <w:rsid w:val="59FB6284"/>
    <w:rsid w:val="59FC7790"/>
    <w:rsid w:val="5A443B42"/>
    <w:rsid w:val="5A5310F5"/>
    <w:rsid w:val="5A9D2AF7"/>
    <w:rsid w:val="5B3963A1"/>
    <w:rsid w:val="5B5E26BC"/>
    <w:rsid w:val="5B7DFDC8"/>
    <w:rsid w:val="5BBBC4EF"/>
    <w:rsid w:val="5BD76584"/>
    <w:rsid w:val="5C1E31A1"/>
    <w:rsid w:val="5C37127B"/>
    <w:rsid w:val="5C4D30BF"/>
    <w:rsid w:val="5C9F3BC9"/>
    <w:rsid w:val="5CBE6807"/>
    <w:rsid w:val="5CCFDC12"/>
    <w:rsid w:val="5CD6A2FE"/>
    <w:rsid w:val="5D0066A9"/>
    <w:rsid w:val="5D846059"/>
    <w:rsid w:val="5D88152A"/>
    <w:rsid w:val="5DFFBCF7"/>
    <w:rsid w:val="5E035786"/>
    <w:rsid w:val="5E48650F"/>
    <w:rsid w:val="5E512B7A"/>
    <w:rsid w:val="5E7F5117"/>
    <w:rsid w:val="5E840848"/>
    <w:rsid w:val="5EC94739"/>
    <w:rsid w:val="5EEEB99E"/>
    <w:rsid w:val="5EFF72DA"/>
    <w:rsid w:val="5F03289D"/>
    <w:rsid w:val="5F1A47BD"/>
    <w:rsid w:val="5F1BBF7C"/>
    <w:rsid w:val="5F3FEBB8"/>
    <w:rsid w:val="5F462686"/>
    <w:rsid w:val="5F57C5E5"/>
    <w:rsid w:val="5F59D57F"/>
    <w:rsid w:val="5F6E1984"/>
    <w:rsid w:val="5F6E3683"/>
    <w:rsid w:val="5FAF00EC"/>
    <w:rsid w:val="5FC3A4AE"/>
    <w:rsid w:val="5FCDA669"/>
    <w:rsid w:val="5FDB0982"/>
    <w:rsid w:val="5FDD3001"/>
    <w:rsid w:val="5FDFF10D"/>
    <w:rsid w:val="5FF43119"/>
    <w:rsid w:val="5FFD4A05"/>
    <w:rsid w:val="5FFF5261"/>
    <w:rsid w:val="5FFFAE5E"/>
    <w:rsid w:val="600133B7"/>
    <w:rsid w:val="603D1B46"/>
    <w:rsid w:val="607A0C59"/>
    <w:rsid w:val="609D03BF"/>
    <w:rsid w:val="60C90AAE"/>
    <w:rsid w:val="60FE45B6"/>
    <w:rsid w:val="612C2203"/>
    <w:rsid w:val="613F4FC1"/>
    <w:rsid w:val="62243C4B"/>
    <w:rsid w:val="62784C35"/>
    <w:rsid w:val="62974F89"/>
    <w:rsid w:val="62CE56ED"/>
    <w:rsid w:val="62D336D6"/>
    <w:rsid w:val="62DA56B7"/>
    <w:rsid w:val="63131053"/>
    <w:rsid w:val="635C5FE3"/>
    <w:rsid w:val="63976495"/>
    <w:rsid w:val="6595187F"/>
    <w:rsid w:val="660BB0B2"/>
    <w:rsid w:val="661934C5"/>
    <w:rsid w:val="664A2D81"/>
    <w:rsid w:val="669E76C1"/>
    <w:rsid w:val="66F55953"/>
    <w:rsid w:val="66FBC28F"/>
    <w:rsid w:val="676E78C6"/>
    <w:rsid w:val="67DF43D2"/>
    <w:rsid w:val="67ED254F"/>
    <w:rsid w:val="67F9649B"/>
    <w:rsid w:val="67FD244F"/>
    <w:rsid w:val="681979D9"/>
    <w:rsid w:val="68A442A7"/>
    <w:rsid w:val="68E7592A"/>
    <w:rsid w:val="695751CC"/>
    <w:rsid w:val="69B612D0"/>
    <w:rsid w:val="6A1D41BC"/>
    <w:rsid w:val="6AF17F63"/>
    <w:rsid w:val="6B1F3322"/>
    <w:rsid w:val="6B2A1711"/>
    <w:rsid w:val="6B46540E"/>
    <w:rsid w:val="6B4E6C93"/>
    <w:rsid w:val="6B7AEF7F"/>
    <w:rsid w:val="6B83003A"/>
    <w:rsid w:val="6B9D338C"/>
    <w:rsid w:val="6BBB1741"/>
    <w:rsid w:val="6BD13452"/>
    <w:rsid w:val="6BDA4588"/>
    <w:rsid w:val="6BFDBE6E"/>
    <w:rsid w:val="6C81436C"/>
    <w:rsid w:val="6C867C4D"/>
    <w:rsid w:val="6CE82B09"/>
    <w:rsid w:val="6CFBED16"/>
    <w:rsid w:val="6CFF3FF6"/>
    <w:rsid w:val="6D580555"/>
    <w:rsid w:val="6D7D76DF"/>
    <w:rsid w:val="6D7EF4C2"/>
    <w:rsid w:val="6DC05278"/>
    <w:rsid w:val="6EB5117C"/>
    <w:rsid w:val="6EBBEC33"/>
    <w:rsid w:val="6EDD48D5"/>
    <w:rsid w:val="6EE64F72"/>
    <w:rsid w:val="6EF578DB"/>
    <w:rsid w:val="6EFFFF00"/>
    <w:rsid w:val="6F6942D4"/>
    <w:rsid w:val="6F6BBBBB"/>
    <w:rsid w:val="6F7EBBCF"/>
    <w:rsid w:val="6F7EE729"/>
    <w:rsid w:val="6F93F947"/>
    <w:rsid w:val="6F9F1812"/>
    <w:rsid w:val="6FABA2F2"/>
    <w:rsid w:val="6FB37964"/>
    <w:rsid w:val="6FB7DA83"/>
    <w:rsid w:val="6FC5ADED"/>
    <w:rsid w:val="6FD7106D"/>
    <w:rsid w:val="6FDFA023"/>
    <w:rsid w:val="6FDFB95D"/>
    <w:rsid w:val="6FDFC48A"/>
    <w:rsid w:val="6FE73926"/>
    <w:rsid w:val="6FF71D24"/>
    <w:rsid w:val="703E3446"/>
    <w:rsid w:val="7058123A"/>
    <w:rsid w:val="70BE66D0"/>
    <w:rsid w:val="70DE64D8"/>
    <w:rsid w:val="70ED531C"/>
    <w:rsid w:val="70F71649"/>
    <w:rsid w:val="71122E14"/>
    <w:rsid w:val="71185C28"/>
    <w:rsid w:val="715666E5"/>
    <w:rsid w:val="71FDB925"/>
    <w:rsid w:val="71FE5E6A"/>
    <w:rsid w:val="721E62AF"/>
    <w:rsid w:val="726AE9E7"/>
    <w:rsid w:val="72BD80F4"/>
    <w:rsid w:val="72E67899"/>
    <w:rsid w:val="7317550E"/>
    <w:rsid w:val="734A6451"/>
    <w:rsid w:val="735F3E71"/>
    <w:rsid w:val="73802554"/>
    <w:rsid w:val="73960E20"/>
    <w:rsid w:val="73A675D2"/>
    <w:rsid w:val="73AB1094"/>
    <w:rsid w:val="73D302DC"/>
    <w:rsid w:val="73D906DC"/>
    <w:rsid w:val="73FB61B0"/>
    <w:rsid w:val="74487F4A"/>
    <w:rsid w:val="751A654B"/>
    <w:rsid w:val="754F122D"/>
    <w:rsid w:val="756FA825"/>
    <w:rsid w:val="75AD28E6"/>
    <w:rsid w:val="75C30AF9"/>
    <w:rsid w:val="75D82903"/>
    <w:rsid w:val="75DEC82C"/>
    <w:rsid w:val="75E21073"/>
    <w:rsid w:val="76440D70"/>
    <w:rsid w:val="7689096B"/>
    <w:rsid w:val="768D490F"/>
    <w:rsid w:val="76D83709"/>
    <w:rsid w:val="76EF2819"/>
    <w:rsid w:val="76FEAD65"/>
    <w:rsid w:val="770D6A27"/>
    <w:rsid w:val="771D5B84"/>
    <w:rsid w:val="772D0A62"/>
    <w:rsid w:val="775F096B"/>
    <w:rsid w:val="77637C56"/>
    <w:rsid w:val="777613D4"/>
    <w:rsid w:val="777C9566"/>
    <w:rsid w:val="777D84C3"/>
    <w:rsid w:val="777FB670"/>
    <w:rsid w:val="77A3F44C"/>
    <w:rsid w:val="77AD661E"/>
    <w:rsid w:val="77AE823A"/>
    <w:rsid w:val="77B3271C"/>
    <w:rsid w:val="77B75F58"/>
    <w:rsid w:val="77BB522A"/>
    <w:rsid w:val="77BF5155"/>
    <w:rsid w:val="77CE3F06"/>
    <w:rsid w:val="77D52AD1"/>
    <w:rsid w:val="77EE9D8B"/>
    <w:rsid w:val="77EFB181"/>
    <w:rsid w:val="77F7F254"/>
    <w:rsid w:val="77FDA8BE"/>
    <w:rsid w:val="77FDD1A7"/>
    <w:rsid w:val="77FF170A"/>
    <w:rsid w:val="77FFCF19"/>
    <w:rsid w:val="77FFF9B6"/>
    <w:rsid w:val="78052595"/>
    <w:rsid w:val="781B0428"/>
    <w:rsid w:val="78275F32"/>
    <w:rsid w:val="78474007"/>
    <w:rsid w:val="78A82E89"/>
    <w:rsid w:val="78E91E7F"/>
    <w:rsid w:val="790B118F"/>
    <w:rsid w:val="7934DE49"/>
    <w:rsid w:val="79AA09AF"/>
    <w:rsid w:val="79DD423F"/>
    <w:rsid w:val="79DE6B99"/>
    <w:rsid w:val="79EBF360"/>
    <w:rsid w:val="79FE0CF8"/>
    <w:rsid w:val="79FE9136"/>
    <w:rsid w:val="7A5F357D"/>
    <w:rsid w:val="7A751AA4"/>
    <w:rsid w:val="7A7F351D"/>
    <w:rsid w:val="7A945FF5"/>
    <w:rsid w:val="7A9FF852"/>
    <w:rsid w:val="7ABF9047"/>
    <w:rsid w:val="7ADF669B"/>
    <w:rsid w:val="7AFBA645"/>
    <w:rsid w:val="7AFF24C3"/>
    <w:rsid w:val="7B3B0A8B"/>
    <w:rsid w:val="7BB12F83"/>
    <w:rsid w:val="7BDDDA0E"/>
    <w:rsid w:val="7BE7062A"/>
    <w:rsid w:val="7BED89CE"/>
    <w:rsid w:val="7BEFF3B5"/>
    <w:rsid w:val="7BF09D1C"/>
    <w:rsid w:val="7BFE85FE"/>
    <w:rsid w:val="7CCF84AA"/>
    <w:rsid w:val="7CDD1255"/>
    <w:rsid w:val="7CF94913"/>
    <w:rsid w:val="7D115384"/>
    <w:rsid w:val="7D460FCA"/>
    <w:rsid w:val="7D4C00C3"/>
    <w:rsid w:val="7D4FE587"/>
    <w:rsid w:val="7D5D36B7"/>
    <w:rsid w:val="7D714D15"/>
    <w:rsid w:val="7DB75D69"/>
    <w:rsid w:val="7DBCD27A"/>
    <w:rsid w:val="7DBE5BE4"/>
    <w:rsid w:val="7DBF26AC"/>
    <w:rsid w:val="7DC255A6"/>
    <w:rsid w:val="7DE68F5E"/>
    <w:rsid w:val="7DED5036"/>
    <w:rsid w:val="7DF09A44"/>
    <w:rsid w:val="7DF71690"/>
    <w:rsid w:val="7DF90075"/>
    <w:rsid w:val="7DFB53AF"/>
    <w:rsid w:val="7E025752"/>
    <w:rsid w:val="7E0D670F"/>
    <w:rsid w:val="7E5F0F05"/>
    <w:rsid w:val="7E611287"/>
    <w:rsid w:val="7E7FA7B5"/>
    <w:rsid w:val="7E8A586D"/>
    <w:rsid w:val="7E97597F"/>
    <w:rsid w:val="7EAC0CAA"/>
    <w:rsid w:val="7EBF27F9"/>
    <w:rsid w:val="7EBF5AA6"/>
    <w:rsid w:val="7ECF4B31"/>
    <w:rsid w:val="7ED8EE3B"/>
    <w:rsid w:val="7EEF0004"/>
    <w:rsid w:val="7EF7BDB3"/>
    <w:rsid w:val="7EFBEA99"/>
    <w:rsid w:val="7EFE9083"/>
    <w:rsid w:val="7EFF52FF"/>
    <w:rsid w:val="7EFFB5AA"/>
    <w:rsid w:val="7F3F2FC7"/>
    <w:rsid w:val="7F3F5E0C"/>
    <w:rsid w:val="7F4FA2C9"/>
    <w:rsid w:val="7F630F6D"/>
    <w:rsid w:val="7F665FD1"/>
    <w:rsid w:val="7F6AB4AF"/>
    <w:rsid w:val="7F6F59BB"/>
    <w:rsid w:val="7F7B1B16"/>
    <w:rsid w:val="7F7ED87C"/>
    <w:rsid w:val="7F7FE333"/>
    <w:rsid w:val="7F87B86A"/>
    <w:rsid w:val="7FAC0ACA"/>
    <w:rsid w:val="7FBBF695"/>
    <w:rsid w:val="7FBFD80E"/>
    <w:rsid w:val="7FBFFBC1"/>
    <w:rsid w:val="7FC6321D"/>
    <w:rsid w:val="7FD04CE4"/>
    <w:rsid w:val="7FD280C9"/>
    <w:rsid w:val="7FD4DCE5"/>
    <w:rsid w:val="7FDF33E2"/>
    <w:rsid w:val="7FDF9AFE"/>
    <w:rsid w:val="7FEB6253"/>
    <w:rsid w:val="7FEB7794"/>
    <w:rsid w:val="7FEC0BB3"/>
    <w:rsid w:val="7FEE972E"/>
    <w:rsid w:val="7FF2AB9C"/>
    <w:rsid w:val="7FF3DC7E"/>
    <w:rsid w:val="7FF40442"/>
    <w:rsid w:val="7FF67D99"/>
    <w:rsid w:val="7FF8B15F"/>
    <w:rsid w:val="7FFADBE7"/>
    <w:rsid w:val="7FFB57A7"/>
    <w:rsid w:val="7FFB59AF"/>
    <w:rsid w:val="7FFBAE56"/>
    <w:rsid w:val="7FFD6DA6"/>
    <w:rsid w:val="7FFDA6A1"/>
    <w:rsid w:val="7FFE2E2E"/>
    <w:rsid w:val="7FFF1A46"/>
    <w:rsid w:val="7FFF5F14"/>
    <w:rsid w:val="7FFF9D9D"/>
    <w:rsid w:val="7FFFD288"/>
    <w:rsid w:val="7FFFF7DB"/>
    <w:rsid w:val="83F7880A"/>
    <w:rsid w:val="849D90D9"/>
    <w:rsid w:val="8DFEF347"/>
    <w:rsid w:val="8F7306A1"/>
    <w:rsid w:val="977FB247"/>
    <w:rsid w:val="97F54147"/>
    <w:rsid w:val="9AFBA559"/>
    <w:rsid w:val="9B3F60EF"/>
    <w:rsid w:val="9BFF84F2"/>
    <w:rsid w:val="9E8FAFDC"/>
    <w:rsid w:val="9FCB09B0"/>
    <w:rsid w:val="9FFF4D30"/>
    <w:rsid w:val="A3EFF354"/>
    <w:rsid w:val="A4AEF400"/>
    <w:rsid w:val="A57EE465"/>
    <w:rsid w:val="A5FE8FCA"/>
    <w:rsid w:val="A9FEDFAC"/>
    <w:rsid w:val="AEEBCCF2"/>
    <w:rsid w:val="AF56A112"/>
    <w:rsid w:val="AF7E23D2"/>
    <w:rsid w:val="AF7FCB28"/>
    <w:rsid w:val="AFB6BF4C"/>
    <w:rsid w:val="AFBBFE09"/>
    <w:rsid w:val="AFEF6D4B"/>
    <w:rsid w:val="AFFADB18"/>
    <w:rsid w:val="AFFD982F"/>
    <w:rsid w:val="B1FF4704"/>
    <w:rsid w:val="B3BBE1CC"/>
    <w:rsid w:val="B3CFA5AE"/>
    <w:rsid w:val="B3FC9C3D"/>
    <w:rsid w:val="B79DA147"/>
    <w:rsid w:val="B79FA5C3"/>
    <w:rsid w:val="B7BD140B"/>
    <w:rsid w:val="B9BF7C2D"/>
    <w:rsid w:val="B9CBCA28"/>
    <w:rsid w:val="BAB7216E"/>
    <w:rsid w:val="BAF0CB44"/>
    <w:rsid w:val="BBD88E1F"/>
    <w:rsid w:val="BBDF870E"/>
    <w:rsid w:val="BBF515BC"/>
    <w:rsid w:val="BBFFCBE9"/>
    <w:rsid w:val="BCFA7C07"/>
    <w:rsid w:val="BD3B8CB6"/>
    <w:rsid w:val="BDD2A29E"/>
    <w:rsid w:val="BDDA4E2D"/>
    <w:rsid w:val="BDEBE701"/>
    <w:rsid w:val="BDFDD510"/>
    <w:rsid w:val="BE8D8C5E"/>
    <w:rsid w:val="BE957DBA"/>
    <w:rsid w:val="BED95391"/>
    <w:rsid w:val="BEFEEE99"/>
    <w:rsid w:val="BEFF53D1"/>
    <w:rsid w:val="BEFFE89C"/>
    <w:rsid w:val="BF3B3F1B"/>
    <w:rsid w:val="BF3FB4BB"/>
    <w:rsid w:val="BF6C484A"/>
    <w:rsid w:val="BF8B6602"/>
    <w:rsid w:val="BF9F49EC"/>
    <w:rsid w:val="BFB380B1"/>
    <w:rsid w:val="BFBEE740"/>
    <w:rsid w:val="BFBFD6CF"/>
    <w:rsid w:val="BFEA88C7"/>
    <w:rsid w:val="BFEFA179"/>
    <w:rsid w:val="BFFD0511"/>
    <w:rsid w:val="BFFFBCE0"/>
    <w:rsid w:val="C77ED1E7"/>
    <w:rsid w:val="C8BDB0DF"/>
    <w:rsid w:val="C8F7A18B"/>
    <w:rsid w:val="CBAFF545"/>
    <w:rsid w:val="CBC4575D"/>
    <w:rsid w:val="CC9DA5F7"/>
    <w:rsid w:val="CDFC0C4D"/>
    <w:rsid w:val="CEBF7C1C"/>
    <w:rsid w:val="CEF818F1"/>
    <w:rsid w:val="CF77E40B"/>
    <w:rsid w:val="CF7D9FCC"/>
    <w:rsid w:val="CFF54F8C"/>
    <w:rsid w:val="CFFFB0CD"/>
    <w:rsid w:val="D3BFF0E9"/>
    <w:rsid w:val="D5F7AF3B"/>
    <w:rsid w:val="D68FF16B"/>
    <w:rsid w:val="D7AFA470"/>
    <w:rsid w:val="D7BDBC80"/>
    <w:rsid w:val="D7F605B4"/>
    <w:rsid w:val="D7F79DAD"/>
    <w:rsid w:val="D93BC9BE"/>
    <w:rsid w:val="D9FB808A"/>
    <w:rsid w:val="DA3EB3EB"/>
    <w:rsid w:val="DAB2A86D"/>
    <w:rsid w:val="DAE7F46B"/>
    <w:rsid w:val="DBB4871D"/>
    <w:rsid w:val="DBFE9217"/>
    <w:rsid w:val="DD7C03F1"/>
    <w:rsid w:val="DD8F3AE6"/>
    <w:rsid w:val="DE3F3501"/>
    <w:rsid w:val="DE6F4188"/>
    <w:rsid w:val="DEBFFBA3"/>
    <w:rsid w:val="DEFFE850"/>
    <w:rsid w:val="DF37E8C5"/>
    <w:rsid w:val="DF7EA9EF"/>
    <w:rsid w:val="DF7F81BE"/>
    <w:rsid w:val="DFBD7F38"/>
    <w:rsid w:val="DFBDE729"/>
    <w:rsid w:val="DFD2A5F8"/>
    <w:rsid w:val="DFD5724F"/>
    <w:rsid w:val="DFDCEEB4"/>
    <w:rsid w:val="DFDFC07A"/>
    <w:rsid w:val="DFEEB4D8"/>
    <w:rsid w:val="DFF494AF"/>
    <w:rsid w:val="DFFBCDBF"/>
    <w:rsid w:val="DFFF3808"/>
    <w:rsid w:val="E1F797EA"/>
    <w:rsid w:val="E2BE49FA"/>
    <w:rsid w:val="E2FAD7EF"/>
    <w:rsid w:val="E39ABD47"/>
    <w:rsid w:val="E3B9C758"/>
    <w:rsid w:val="E3FF592F"/>
    <w:rsid w:val="E6FB2C7E"/>
    <w:rsid w:val="E77AC331"/>
    <w:rsid w:val="E7B7BC22"/>
    <w:rsid w:val="E7C22AC7"/>
    <w:rsid w:val="E7CF8A67"/>
    <w:rsid w:val="E7ED4C63"/>
    <w:rsid w:val="E8ADD2C0"/>
    <w:rsid w:val="E995E00E"/>
    <w:rsid w:val="E9D7E4C1"/>
    <w:rsid w:val="E9FE981B"/>
    <w:rsid w:val="EBEE5C3A"/>
    <w:rsid w:val="EBFD87F9"/>
    <w:rsid w:val="EBFF5869"/>
    <w:rsid w:val="ECD7545B"/>
    <w:rsid w:val="EDEDE0BF"/>
    <w:rsid w:val="EDFE1084"/>
    <w:rsid w:val="EEBD50CB"/>
    <w:rsid w:val="EED6EE7E"/>
    <w:rsid w:val="EF19EF83"/>
    <w:rsid w:val="EF2BD772"/>
    <w:rsid w:val="EF3DACF5"/>
    <w:rsid w:val="EF5B18E5"/>
    <w:rsid w:val="EFBE6546"/>
    <w:rsid w:val="EFE70A64"/>
    <w:rsid w:val="EFF742BA"/>
    <w:rsid w:val="EFF97CA3"/>
    <w:rsid w:val="EFFB605B"/>
    <w:rsid w:val="EFFBF1BD"/>
    <w:rsid w:val="EFFF445A"/>
    <w:rsid w:val="F2F5317E"/>
    <w:rsid w:val="F33E4BA4"/>
    <w:rsid w:val="F3E36F7C"/>
    <w:rsid w:val="F3E7F0E9"/>
    <w:rsid w:val="F3FDBE29"/>
    <w:rsid w:val="F4C7D9B8"/>
    <w:rsid w:val="F4FA84E5"/>
    <w:rsid w:val="F55A583C"/>
    <w:rsid w:val="F5AF6E8B"/>
    <w:rsid w:val="F5EFFA36"/>
    <w:rsid w:val="F66B6E96"/>
    <w:rsid w:val="F6F9974F"/>
    <w:rsid w:val="F6F9F1FB"/>
    <w:rsid w:val="F6FD82C8"/>
    <w:rsid w:val="F6FF5918"/>
    <w:rsid w:val="F72C6041"/>
    <w:rsid w:val="F72EA2AE"/>
    <w:rsid w:val="F7794B8F"/>
    <w:rsid w:val="F77F8E54"/>
    <w:rsid w:val="F79BAE44"/>
    <w:rsid w:val="F7B76E25"/>
    <w:rsid w:val="F7BFDE1B"/>
    <w:rsid w:val="F7DB4A44"/>
    <w:rsid w:val="F7F30DF5"/>
    <w:rsid w:val="F7F4A892"/>
    <w:rsid w:val="F7FE0181"/>
    <w:rsid w:val="F97F8D55"/>
    <w:rsid w:val="F9EFD136"/>
    <w:rsid w:val="FA3F9A1A"/>
    <w:rsid w:val="FB5F2666"/>
    <w:rsid w:val="FB770F32"/>
    <w:rsid w:val="FB7FCC96"/>
    <w:rsid w:val="FBAB064A"/>
    <w:rsid w:val="FBACB511"/>
    <w:rsid w:val="FBBE3BFE"/>
    <w:rsid w:val="FBBEF982"/>
    <w:rsid w:val="FBCE6A3A"/>
    <w:rsid w:val="FBDB5D2E"/>
    <w:rsid w:val="FBE6FB0A"/>
    <w:rsid w:val="FBE7E326"/>
    <w:rsid w:val="FBEB8178"/>
    <w:rsid w:val="FBED43F7"/>
    <w:rsid w:val="FBFF4B4C"/>
    <w:rsid w:val="FD3F6D71"/>
    <w:rsid w:val="FD4B48A7"/>
    <w:rsid w:val="FD726A7D"/>
    <w:rsid w:val="FD759387"/>
    <w:rsid w:val="FD7DE423"/>
    <w:rsid w:val="FD9E6245"/>
    <w:rsid w:val="FD9F0C24"/>
    <w:rsid w:val="FDBF1F41"/>
    <w:rsid w:val="FDE5B26D"/>
    <w:rsid w:val="FDE9B111"/>
    <w:rsid w:val="FDEFE2C6"/>
    <w:rsid w:val="FDFAEB7B"/>
    <w:rsid w:val="FDFB14A6"/>
    <w:rsid w:val="FDFBAAF5"/>
    <w:rsid w:val="FDFF6C42"/>
    <w:rsid w:val="FDFF8E50"/>
    <w:rsid w:val="FDFFBD90"/>
    <w:rsid w:val="FEBACE62"/>
    <w:rsid w:val="FEBFBB64"/>
    <w:rsid w:val="FED75230"/>
    <w:rsid w:val="FEEB4456"/>
    <w:rsid w:val="FEF7FCE7"/>
    <w:rsid w:val="FEF9A1D9"/>
    <w:rsid w:val="FEFFDF4A"/>
    <w:rsid w:val="FF3F697F"/>
    <w:rsid w:val="FF3F6F33"/>
    <w:rsid w:val="FF4A0DA6"/>
    <w:rsid w:val="FF7DB28B"/>
    <w:rsid w:val="FF7F7AB3"/>
    <w:rsid w:val="FF861C58"/>
    <w:rsid w:val="FFBE074E"/>
    <w:rsid w:val="FFBF2333"/>
    <w:rsid w:val="FFDEB897"/>
    <w:rsid w:val="FFDF3CC2"/>
    <w:rsid w:val="FFDF5956"/>
    <w:rsid w:val="FFDFCD93"/>
    <w:rsid w:val="FFE7E866"/>
    <w:rsid w:val="FFEBD6C6"/>
    <w:rsid w:val="FFEDF182"/>
    <w:rsid w:val="FFEE29C8"/>
    <w:rsid w:val="FFEF91A5"/>
    <w:rsid w:val="FFEF9BE4"/>
    <w:rsid w:val="FFF3F816"/>
    <w:rsid w:val="FFF55A07"/>
    <w:rsid w:val="FFF6B1A1"/>
    <w:rsid w:val="FFF7B78D"/>
    <w:rsid w:val="FFFB3C37"/>
    <w:rsid w:val="FFFBB218"/>
    <w:rsid w:val="FFFD2856"/>
    <w:rsid w:val="FFFD9B9A"/>
    <w:rsid w:val="FFFE2B73"/>
    <w:rsid w:val="FFFE766E"/>
    <w:rsid w:val="FFFF5EFE"/>
    <w:rsid w:val="FFFFD968"/>
    <w:rsid w:val="FFFFE8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qFormat="1" w:unhideWhenUsed="0" w:uiPriority="0" w:semiHidden="0" w:name="index 9"/>
    <w:lsdException w:qFormat="1" w:unhideWhenUsed="0" w:uiPriority="0" w:semiHidden="0" w:name="toc 1"/>
    <w:lsdException w:qFormat="1"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Arial"/>
      <w:kern w:val="2"/>
      <w:sz w:val="21"/>
      <w:szCs w:val="22"/>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index 9"/>
    <w:basedOn w:val="1"/>
    <w:next w:val="1"/>
    <w:qFormat/>
    <w:uiPriority w:val="0"/>
    <w:pPr>
      <w:ind w:left="3360"/>
      <w:jc w:val="left"/>
    </w:pPr>
    <w:rPr>
      <w:rFonts w:ascii="Calibri" w:hAnsi="Calibri" w:eastAsia="宋体" w:cs="Arial"/>
      <w:szCs w:val="22"/>
    </w:rPr>
  </w:style>
  <w:style w:type="paragraph" w:styleId="3">
    <w:name w:val="Body Text"/>
    <w:basedOn w:val="1"/>
    <w:qFormat/>
    <w:uiPriority w:val="0"/>
    <w:rPr>
      <w:sz w:val="24"/>
    </w:rPr>
  </w:style>
  <w:style w:type="paragraph" w:styleId="4">
    <w:name w:val="Body Text Indent"/>
    <w:basedOn w:val="1"/>
    <w:qFormat/>
    <w:uiPriority w:val="0"/>
    <w:pPr>
      <w:spacing w:line="600" w:lineRule="exact"/>
      <w:ind w:firstLine="640" w:firstLineChars="200"/>
    </w:pPr>
    <w:rPr>
      <w:rFonts w:ascii="Times New Roman" w:hAnsi="Times New Roman" w:eastAsia="仿宋_GB2312" w:cs="Times New Roman"/>
      <w:kern w:val="0"/>
      <w:sz w:val="24"/>
      <w:szCs w:val="24"/>
    </w:rPr>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jc w:val="left"/>
    </w:pPr>
    <w:rPr>
      <w:rFonts w:ascii="Times New Roman" w:hAnsi="Times New Roman" w:cs="Times New Roman"/>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rFonts w:ascii="Times New Roman" w:hAnsi="Times New Roman" w:cs="Times New Roman"/>
      <w:sz w:val="18"/>
      <w:szCs w:val="18"/>
    </w:rPr>
  </w:style>
  <w:style w:type="paragraph" w:styleId="8">
    <w:name w:val="toc 1"/>
    <w:basedOn w:val="1"/>
    <w:next w:val="1"/>
    <w:qFormat/>
    <w:uiPriority w:val="0"/>
    <w:rPr>
      <w:rFonts w:ascii="Times New Roman" w:hAnsi="Times New Roman" w:cs="Times New Roman"/>
      <w:szCs w:val="24"/>
    </w:rPr>
  </w:style>
  <w:style w:type="paragraph" w:styleId="9">
    <w:name w:val="footnote text"/>
    <w:basedOn w:val="1"/>
    <w:qFormat/>
    <w:uiPriority w:val="0"/>
    <w:pPr>
      <w:snapToGrid w:val="0"/>
      <w:jc w:val="left"/>
    </w:pPr>
    <w:rPr>
      <w:rFonts w:cs="Times New Roman"/>
      <w:sz w:val="18"/>
      <w:szCs w:val="18"/>
    </w:rPr>
  </w:style>
  <w:style w:type="paragraph" w:styleId="10">
    <w:name w:val="toc 2"/>
    <w:basedOn w:val="1"/>
    <w:next w:val="1"/>
    <w:qFormat/>
    <w:uiPriority w:val="0"/>
    <w:pPr>
      <w:ind w:left="200" w:leftChars="200"/>
    </w:pPr>
    <w:rPr>
      <w:rFonts w:ascii="Times New Roman" w:hAnsi="Times New Roman" w:cs="Times New Roman"/>
      <w:szCs w:val="24"/>
    </w:rPr>
  </w:style>
  <w:style w:type="character" w:styleId="13">
    <w:name w:val="footnote reference"/>
    <w:qFormat/>
    <w:uiPriority w:val="0"/>
    <w:rPr>
      <w:vertAlign w:val="superscript"/>
    </w:rPr>
  </w:style>
  <w:style w:type="paragraph" w:customStyle="1" w:styleId="14">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5">
    <w:name w:val="单元格样式1"/>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6">
    <w:name w:val="单元格样式4"/>
    <w:basedOn w:val="1"/>
    <w:qFormat/>
    <w:uiPriority w:val="0"/>
    <w:pPr>
      <w:widowControl/>
      <w:jc w:val="right"/>
    </w:pPr>
    <w:rPr>
      <w:rFonts w:ascii="方正书宋_GBK" w:hAnsi="方正书宋_GBK" w:eastAsia="方正书宋_GBK" w:cs="方正书宋_GBK"/>
      <w:kern w:val="0"/>
      <w:szCs w:val="24"/>
      <w:lang w:eastAsia="uk-UA"/>
    </w:rPr>
  </w:style>
  <w:style w:type="paragraph" w:customStyle="1" w:styleId="17">
    <w:name w:val="单元格样式2"/>
    <w:basedOn w:val="1"/>
    <w:qFormat/>
    <w:uiPriority w:val="0"/>
    <w:pPr>
      <w:widowControl/>
      <w:jc w:val="left"/>
    </w:pPr>
    <w:rPr>
      <w:rFonts w:ascii="方正书宋_GBK" w:hAnsi="方正书宋_GBK" w:eastAsia="方正书宋_GBK" w:cs="方正书宋_GBK"/>
      <w:kern w:val="0"/>
      <w:szCs w:val="24"/>
      <w:lang w:eastAsia="uk-UA"/>
    </w:rPr>
  </w:style>
  <w:style w:type="paragraph" w:customStyle="1" w:styleId="18">
    <w:name w:val="单元格样式3"/>
    <w:basedOn w:val="1"/>
    <w:qFormat/>
    <w:uiPriority w:val="0"/>
    <w:pPr>
      <w:widowControl/>
      <w:jc w:val="center"/>
    </w:pPr>
    <w:rPr>
      <w:rFonts w:ascii="方正书宋_GBK" w:hAnsi="方正书宋_GBK" w:eastAsia="方正书宋_GBK" w:cs="方正书宋_GBK"/>
      <w:kern w:val="0"/>
      <w:szCs w:val="24"/>
      <w:lang w:eastAsia="uk-UA"/>
    </w:rPr>
  </w:style>
  <w:style w:type="paragraph" w:customStyle="1" w:styleId="19">
    <w:name w:val="单元格样式6"/>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20">
    <w:name w:val="单元格样式7"/>
    <w:basedOn w:val="1"/>
    <w:qFormat/>
    <w:uiPriority w:val="0"/>
    <w:pPr>
      <w:widowControl/>
      <w:jc w:val="right"/>
    </w:pPr>
    <w:rPr>
      <w:rFonts w:ascii="方正书宋_GBK" w:hAnsi="方正书宋_GBK" w:eastAsia="方正书宋_GBK" w:cs="方正书宋_GBK"/>
      <w:b/>
      <w:kern w:val="0"/>
      <w:szCs w:val="24"/>
      <w:lang w:eastAsia="uk-UA"/>
    </w:rPr>
  </w:style>
  <w:style w:type="paragraph" w:customStyle="1" w:styleId="21">
    <w:name w:val="单元格样式5"/>
    <w:basedOn w:val="1"/>
    <w:qFormat/>
    <w:uiPriority w:val="0"/>
    <w:pPr>
      <w:widowControl/>
      <w:jc w:val="left"/>
    </w:pPr>
    <w:rPr>
      <w:rFonts w:ascii="方正书宋_GBK" w:hAnsi="方正书宋_GBK" w:eastAsia="方正书宋_GBK" w:cs="方正书宋_GBK"/>
      <w:b/>
      <w:kern w:val="0"/>
      <w:szCs w:val="24"/>
      <w:lang w:eastAsia="uk-UA"/>
    </w:rPr>
  </w:style>
  <w:style w:type="paragraph" w:customStyle="1" w:styleId="22">
    <w:name w:val="插入文本样式-插入总体目标文件"/>
    <w:basedOn w:val="1"/>
    <w:qFormat/>
    <w:uiPriority w:val="0"/>
    <w:pPr>
      <w:spacing w:before="0" w:after="0" w:line="500" w:lineRule="exact"/>
      <w:ind w:firstLine="560"/>
      <w:jc w:val="left"/>
      <w:outlineLvl w:val="9"/>
    </w:pPr>
    <w:rPr>
      <w:rFonts w:ascii="Times New Roman" w:hAnsi="Times New Roman" w:eastAsia="方正仿宋_GBK" w:cs="Times New Roman"/>
      <w:sz w:val="28"/>
    </w:rPr>
  </w:style>
  <w:style w:type="paragraph" w:customStyle="1" w:styleId="23">
    <w:name w:val="插入文本样式-插入职责分类绩效目标文件"/>
    <w:basedOn w:val="1"/>
    <w:qFormat/>
    <w:uiPriority w:val="0"/>
    <w:pPr>
      <w:spacing w:before="0" w:after="0" w:line="500" w:lineRule="exact"/>
      <w:ind w:firstLine="560"/>
      <w:jc w:val="left"/>
      <w:outlineLvl w:val="9"/>
    </w:pPr>
    <w:rPr>
      <w:rFonts w:ascii="Times New Roman" w:hAnsi="Times New Roman" w:eastAsia="方正仿宋_GBK" w:cs="Times New Roman"/>
      <w:sz w:val="28"/>
    </w:rPr>
  </w:style>
  <w:style w:type="paragraph" w:customStyle="1" w:styleId="24">
    <w:name w:val="插入文本样式-插入实现年度发展规划目标的保障措施文件"/>
    <w:basedOn w:val="1"/>
    <w:qFormat/>
    <w:uiPriority w:val="0"/>
    <w:pPr>
      <w:spacing w:before="0" w:after="0" w:line="500" w:lineRule="exact"/>
      <w:ind w:firstLine="560"/>
      <w:jc w:val="left"/>
      <w:outlineLvl w:val="9"/>
    </w:pPr>
    <w:rPr>
      <w:rFonts w:ascii="Times New Roman" w:hAnsi="Times New Roman" w:eastAsia="方正仿宋_GBK" w:cs="Times New Roman"/>
      <w:sz w:val="28"/>
    </w:rPr>
  </w:style>
  <w:style w:type="paragraph" w:customStyle="1" w:styleId="25">
    <w:name w:val="单元格样式20"/>
    <w:basedOn w:val="1"/>
    <w:qFormat/>
    <w:uiPriority w:val="0"/>
    <w:pPr>
      <w:spacing w:before="0" w:after="0"/>
      <w:ind w:firstLine="0"/>
      <w:jc w:val="left"/>
      <w:outlineLvl w:val="9"/>
    </w:pPr>
    <w:rPr>
      <w:rFonts w:ascii="方正小标宋_GBK" w:hAnsi="方正小标宋_GBK" w:eastAsia="方正小标宋_GBK" w:cs="方正小标宋_GBK"/>
      <w:sz w:val="24"/>
    </w:rPr>
  </w:style>
  <w:style w:type="paragraph" w:customStyle="1" w:styleId="26">
    <w:name w:val="单元格样式23"/>
    <w:basedOn w:val="1"/>
    <w:qFormat/>
    <w:uiPriority w:val="0"/>
    <w:pPr>
      <w:spacing w:before="0" w:after="0"/>
      <w:ind w:firstLine="0"/>
      <w:jc w:val="right"/>
      <w:outlineLvl w:val="9"/>
    </w:pPr>
    <w:rPr>
      <w:rFonts w:ascii="方正书宋_GBK" w:hAnsi="方正书宋_GBK" w:eastAsia="方正书宋_GBK" w:cs="方正书宋_GBK"/>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11</Pages>
  <Words>507</Words>
  <Characters>2896</Characters>
  <Lines>24</Lines>
  <Paragraphs>6</Paragraphs>
  <TotalTime>45</TotalTime>
  <ScaleCrop>false</ScaleCrop>
  <LinksUpToDate>false</LinksUpToDate>
  <CharactersWithSpaces>3397</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2020-01-15T03:27:00Z</dcterms:created>
  <dc:creator>guest</dc:creator>
  <cp:lastModifiedBy>user</cp:lastModifiedBy>
  <cp:lastPrinted>2018-02-01T06:12:00Z</cp:lastPrinted>
  <dcterms:modified xsi:type="dcterms:W3CDTF">2023-01-18T17:38:08Z</dcterms:modified>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